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DA" w:rsidRPr="00430E21" w:rsidRDefault="00013BDA" w:rsidP="00FE2026">
      <w:pPr>
        <w:pStyle w:val="Title"/>
        <w:spacing w:after="200"/>
        <w:rPr>
          <w:sz w:val="44"/>
        </w:rPr>
      </w:pPr>
      <w:r w:rsidRPr="00430E21">
        <w:rPr>
          <w:sz w:val="44"/>
        </w:rPr>
        <w:t>Template for Institutional Web Accessibility Activities</w:t>
      </w:r>
    </w:p>
    <w:p w:rsidR="00E514AA" w:rsidRPr="00FE2026" w:rsidRDefault="00E514AA" w:rsidP="0082691C">
      <w:pPr>
        <w:spacing w:after="120" w:line="264" w:lineRule="auto"/>
        <w:rPr>
          <w:szCs w:val="21"/>
        </w:rPr>
      </w:pPr>
      <w:r w:rsidRPr="00FE2026">
        <w:rPr>
          <w:szCs w:val="21"/>
        </w:rPr>
        <w:t xml:space="preserve">Institutions who wish to document web accessibility efforts as part of continuous improvement for reaffirmation may benefit from a template to collect institutional data and information.  This template provides a guide for doing so.  This template can be used in conjunction with the </w:t>
      </w:r>
      <w:hyperlink r:id="rId7" w:history="1">
        <w:r w:rsidRPr="00FE2026">
          <w:rPr>
            <w:rStyle w:val="Hyperlink"/>
            <w:i/>
            <w:szCs w:val="21"/>
          </w:rPr>
          <w:t>Best Practices for Institution-Wide Web Accessibility Document</w:t>
        </w:r>
      </w:hyperlink>
      <w:r w:rsidRPr="00FE2026">
        <w:rPr>
          <w:szCs w:val="21"/>
        </w:rPr>
        <w:t xml:space="preserve"> to help provide a structure for including web accessibility efforts in reaffirmation reports</w:t>
      </w:r>
      <w:r w:rsidR="005770F2" w:rsidRPr="00FE2026">
        <w:rPr>
          <w:szCs w:val="21"/>
        </w:rPr>
        <w:t xml:space="preserve"> or </w:t>
      </w:r>
      <w:r w:rsidR="008051EB" w:rsidRPr="00FE2026">
        <w:rPr>
          <w:szCs w:val="21"/>
        </w:rPr>
        <w:t>quality improvement outlines</w:t>
      </w:r>
      <w:r w:rsidRPr="00FE2026">
        <w:rPr>
          <w:szCs w:val="21"/>
        </w:rPr>
        <w:t>.</w:t>
      </w:r>
    </w:p>
    <w:p w:rsidR="00013BDA" w:rsidRPr="00FE2026" w:rsidRDefault="00E134F1" w:rsidP="0082691C">
      <w:pPr>
        <w:spacing w:after="120" w:line="264" w:lineRule="auto"/>
        <w:rPr>
          <w:szCs w:val="21"/>
        </w:rPr>
      </w:pPr>
      <w:r w:rsidRPr="00FE2026">
        <w:rPr>
          <w:szCs w:val="21"/>
        </w:rPr>
        <w:t>Ensuring that your institution’s web presence is accessible to all</w:t>
      </w:r>
      <w:r w:rsidR="00171F41" w:rsidRPr="00FE2026">
        <w:rPr>
          <w:szCs w:val="21"/>
        </w:rPr>
        <w:t>,</w:t>
      </w:r>
      <w:r w:rsidRPr="00FE2026">
        <w:rPr>
          <w:szCs w:val="21"/>
        </w:rPr>
        <w:t xml:space="preserve"> including those with disabilities</w:t>
      </w:r>
      <w:r w:rsidR="00171F41" w:rsidRPr="00FE2026">
        <w:rPr>
          <w:szCs w:val="21"/>
        </w:rPr>
        <w:t>,</w:t>
      </w:r>
      <w:r w:rsidRPr="00FE2026">
        <w:rPr>
          <w:szCs w:val="21"/>
        </w:rPr>
        <w:t xml:space="preserve"> is not only the right thing to </w:t>
      </w:r>
      <w:r w:rsidR="00AF06E4" w:rsidRPr="00FE2026">
        <w:rPr>
          <w:szCs w:val="21"/>
        </w:rPr>
        <w:t>do;</w:t>
      </w:r>
      <w:r w:rsidRPr="00FE2026">
        <w:rPr>
          <w:szCs w:val="21"/>
        </w:rPr>
        <w:t xml:space="preserve"> it also provides a number of benefits to your institution:</w:t>
      </w:r>
    </w:p>
    <w:p w:rsidR="00E134F1" w:rsidRPr="00FE2026" w:rsidRDefault="00E134F1" w:rsidP="0082691C">
      <w:pPr>
        <w:pStyle w:val="ListParagraph"/>
        <w:numPr>
          <w:ilvl w:val="0"/>
          <w:numId w:val="11"/>
        </w:numPr>
        <w:spacing w:after="120" w:line="264" w:lineRule="auto"/>
        <w:rPr>
          <w:szCs w:val="21"/>
        </w:rPr>
      </w:pPr>
      <w:r w:rsidRPr="00FE2026">
        <w:rPr>
          <w:szCs w:val="21"/>
        </w:rPr>
        <w:t xml:space="preserve">It reflects institutional mission, leadership and values. </w:t>
      </w:r>
    </w:p>
    <w:p w:rsidR="00E134F1" w:rsidRPr="00FE2026" w:rsidRDefault="00E134F1" w:rsidP="0082691C">
      <w:pPr>
        <w:pStyle w:val="ListParagraph"/>
        <w:numPr>
          <w:ilvl w:val="0"/>
          <w:numId w:val="11"/>
        </w:numPr>
        <w:spacing w:after="120" w:line="264" w:lineRule="auto"/>
        <w:rPr>
          <w:szCs w:val="21"/>
        </w:rPr>
      </w:pPr>
      <w:r w:rsidRPr="00FE2026">
        <w:rPr>
          <w:szCs w:val="21"/>
        </w:rPr>
        <w:t>It affects constituents at every level of your institution: including students, faculty and staff, prospective students and staff, and alumni and community members.</w:t>
      </w:r>
    </w:p>
    <w:p w:rsidR="00E134F1" w:rsidRPr="00FE2026" w:rsidRDefault="00E134F1" w:rsidP="0082691C">
      <w:pPr>
        <w:pStyle w:val="ListParagraph"/>
        <w:numPr>
          <w:ilvl w:val="0"/>
          <w:numId w:val="11"/>
        </w:numPr>
        <w:spacing w:after="120" w:line="264" w:lineRule="auto"/>
        <w:rPr>
          <w:szCs w:val="21"/>
        </w:rPr>
      </w:pPr>
      <w:r w:rsidRPr="00FE2026">
        <w:rPr>
          <w:szCs w:val="21"/>
        </w:rPr>
        <w:t>It promotes sound fiscal policy: It is more efficient than after-the-fact fixes</w:t>
      </w:r>
      <w:r w:rsidR="006246DD" w:rsidRPr="00FE2026">
        <w:rPr>
          <w:szCs w:val="21"/>
        </w:rPr>
        <w:t>;</w:t>
      </w:r>
      <w:r w:rsidRPr="00FE2026">
        <w:rPr>
          <w:szCs w:val="21"/>
        </w:rPr>
        <w:t xml:space="preserve"> assists in recruitment and retention of students and faculty with disabilities</w:t>
      </w:r>
      <w:r w:rsidR="00E514AA" w:rsidRPr="00FE2026">
        <w:rPr>
          <w:szCs w:val="21"/>
        </w:rPr>
        <w:t xml:space="preserve"> that affect computer and internet use</w:t>
      </w:r>
      <w:r w:rsidR="006246DD" w:rsidRPr="00FE2026">
        <w:rPr>
          <w:szCs w:val="21"/>
        </w:rPr>
        <w:t>;</w:t>
      </w:r>
      <w:r w:rsidRPr="00FE2026">
        <w:rPr>
          <w:szCs w:val="21"/>
        </w:rPr>
        <w:t xml:space="preserve"> enhances collaborative possibilities in both the US and abroad</w:t>
      </w:r>
      <w:r w:rsidR="006246DD" w:rsidRPr="00FE2026">
        <w:rPr>
          <w:szCs w:val="21"/>
        </w:rPr>
        <w:t>;</w:t>
      </w:r>
      <w:r w:rsidRPr="00FE2026">
        <w:rPr>
          <w:szCs w:val="21"/>
        </w:rPr>
        <w:t xml:space="preserve"> protects the institution from </w:t>
      </w:r>
      <w:r w:rsidR="00273A29" w:rsidRPr="00FE2026">
        <w:rPr>
          <w:szCs w:val="21"/>
        </w:rPr>
        <w:t xml:space="preserve">some </w:t>
      </w:r>
      <w:r w:rsidRPr="00FE2026">
        <w:rPr>
          <w:szCs w:val="21"/>
        </w:rPr>
        <w:t>legal complaints</w:t>
      </w:r>
      <w:r w:rsidR="006246DD" w:rsidRPr="00FE2026">
        <w:rPr>
          <w:szCs w:val="21"/>
        </w:rPr>
        <w:t>;</w:t>
      </w:r>
      <w:r w:rsidRPr="00FE2026">
        <w:rPr>
          <w:szCs w:val="21"/>
        </w:rPr>
        <w:t xml:space="preserve"> supports public relations and development work and</w:t>
      </w:r>
      <w:r w:rsidR="006246DD" w:rsidRPr="00FE2026">
        <w:rPr>
          <w:szCs w:val="21"/>
        </w:rPr>
        <w:t>;</w:t>
      </w:r>
      <w:r w:rsidR="00E514AA" w:rsidRPr="00FE2026">
        <w:rPr>
          <w:szCs w:val="21"/>
        </w:rPr>
        <w:t xml:space="preserve"> satisfies the expectations of</w:t>
      </w:r>
      <w:r w:rsidRPr="00FE2026">
        <w:rPr>
          <w:szCs w:val="21"/>
        </w:rPr>
        <w:t xml:space="preserve"> funding agencies </w:t>
      </w:r>
      <w:r w:rsidR="00E514AA" w:rsidRPr="00FE2026">
        <w:rPr>
          <w:szCs w:val="21"/>
        </w:rPr>
        <w:t xml:space="preserve">that </w:t>
      </w:r>
      <w:r w:rsidRPr="00FE2026">
        <w:rPr>
          <w:szCs w:val="21"/>
        </w:rPr>
        <w:t>have begun to require accessible information communication for some grants and contracts.</w:t>
      </w:r>
    </w:p>
    <w:p w:rsidR="00CA5D70" w:rsidRPr="00FE2026" w:rsidRDefault="00E134F1" w:rsidP="0082691C">
      <w:pPr>
        <w:pStyle w:val="ListParagraph"/>
        <w:numPr>
          <w:ilvl w:val="0"/>
          <w:numId w:val="11"/>
        </w:numPr>
        <w:spacing w:after="120" w:line="264" w:lineRule="auto"/>
        <w:rPr>
          <w:szCs w:val="21"/>
        </w:rPr>
      </w:pPr>
      <w:r w:rsidRPr="00FE2026">
        <w:rPr>
          <w:szCs w:val="21"/>
        </w:rPr>
        <w:t>It adds value: It assists students for whom English is a second language</w:t>
      </w:r>
      <w:r w:rsidR="00273A29" w:rsidRPr="00FE2026">
        <w:rPr>
          <w:szCs w:val="21"/>
        </w:rPr>
        <w:t>; it</w:t>
      </w:r>
      <w:r w:rsidRPr="00FE2026">
        <w:rPr>
          <w:szCs w:val="21"/>
        </w:rPr>
        <w:t xml:space="preserve"> supports multi-modal learning</w:t>
      </w:r>
      <w:r w:rsidR="00273A29" w:rsidRPr="00FE2026">
        <w:rPr>
          <w:szCs w:val="21"/>
        </w:rPr>
        <w:t>;</w:t>
      </w:r>
      <w:r w:rsidRPr="00FE2026">
        <w:rPr>
          <w:szCs w:val="21"/>
        </w:rPr>
        <w:t xml:space="preserve"> </w:t>
      </w:r>
      <w:r w:rsidR="00273A29" w:rsidRPr="00FE2026">
        <w:rPr>
          <w:szCs w:val="21"/>
        </w:rPr>
        <w:t xml:space="preserve">it </w:t>
      </w:r>
      <w:r w:rsidRPr="00FE2026">
        <w:rPr>
          <w:szCs w:val="21"/>
        </w:rPr>
        <w:t xml:space="preserve">allows access by those using older equipment, slow modems, or in places where sound is not </w:t>
      </w:r>
      <w:bookmarkStart w:id="0" w:name="_GoBack"/>
      <w:bookmarkEnd w:id="0"/>
      <w:r w:rsidRPr="00FE2026">
        <w:rPr>
          <w:szCs w:val="21"/>
        </w:rPr>
        <w:t>allowed</w:t>
      </w:r>
      <w:r w:rsidR="006246DD" w:rsidRPr="00FE2026">
        <w:rPr>
          <w:szCs w:val="21"/>
        </w:rPr>
        <w:t xml:space="preserve"> and</w:t>
      </w:r>
      <w:r w:rsidR="00273A29" w:rsidRPr="00FE2026">
        <w:rPr>
          <w:szCs w:val="21"/>
        </w:rPr>
        <w:t>; it</w:t>
      </w:r>
      <w:r w:rsidRPr="00FE2026">
        <w:rPr>
          <w:szCs w:val="21"/>
        </w:rPr>
        <w:t xml:space="preserve"> is likely to </w:t>
      </w:r>
      <w:r w:rsidR="006246DD" w:rsidRPr="00FE2026">
        <w:rPr>
          <w:szCs w:val="21"/>
        </w:rPr>
        <w:t>help your website continue to work as</w:t>
      </w:r>
      <w:r w:rsidRPr="00FE2026">
        <w:rPr>
          <w:szCs w:val="21"/>
        </w:rPr>
        <w:t xml:space="preserve"> technologies evolve (forward compatible)</w:t>
      </w:r>
      <w:r w:rsidR="006246DD" w:rsidRPr="00FE2026">
        <w:rPr>
          <w:szCs w:val="21"/>
        </w:rPr>
        <w:t>. Furthermore,</w:t>
      </w:r>
      <w:r w:rsidRPr="00FE2026">
        <w:rPr>
          <w:szCs w:val="21"/>
        </w:rPr>
        <w:t xml:space="preserve"> accessible content tends to have a higher return on prominent search engines (e.g., Google) and</w:t>
      </w:r>
      <w:r w:rsidR="006246DD" w:rsidRPr="00FE2026">
        <w:rPr>
          <w:szCs w:val="21"/>
        </w:rPr>
        <w:t xml:space="preserve"> </w:t>
      </w:r>
      <w:r w:rsidRPr="00FE2026">
        <w:rPr>
          <w:szCs w:val="21"/>
        </w:rPr>
        <w:t>is more robust. This means it should work more reliably across different browsers and devices, such as netbooks and mobile phones.</w:t>
      </w:r>
    </w:p>
    <w:p w:rsidR="00E134F1" w:rsidRPr="00FE2026" w:rsidRDefault="00CD6DA2" w:rsidP="0082691C">
      <w:pPr>
        <w:pStyle w:val="ListParagraph"/>
        <w:numPr>
          <w:ilvl w:val="0"/>
          <w:numId w:val="11"/>
        </w:numPr>
        <w:spacing w:after="120" w:line="264" w:lineRule="auto"/>
        <w:rPr>
          <w:b/>
          <w:szCs w:val="21"/>
        </w:rPr>
      </w:pPr>
      <w:r w:rsidRPr="00FE2026">
        <w:rPr>
          <w:b/>
          <w:szCs w:val="21"/>
        </w:rPr>
        <w:t>Finally, i</w:t>
      </w:r>
      <w:r w:rsidR="00E134F1" w:rsidRPr="00FE2026">
        <w:rPr>
          <w:b/>
          <w:szCs w:val="21"/>
        </w:rPr>
        <w:t>t can als</w:t>
      </w:r>
      <w:r w:rsidR="00CA5D70" w:rsidRPr="00FE2026">
        <w:rPr>
          <w:b/>
          <w:szCs w:val="21"/>
        </w:rPr>
        <w:t xml:space="preserve">o provide a value-added benefit: the </w:t>
      </w:r>
      <w:hyperlink r:id="rId8" w:history="1">
        <w:r w:rsidR="00CA5D70" w:rsidRPr="00FE2026">
          <w:rPr>
            <w:rStyle w:val="Hyperlink"/>
            <w:b/>
            <w:szCs w:val="21"/>
          </w:rPr>
          <w:t xml:space="preserve">foundation for web accessibility is present in the existing guidelines of </w:t>
        </w:r>
        <w:r w:rsidR="008051EB" w:rsidRPr="00FE2026">
          <w:rPr>
            <w:rStyle w:val="Hyperlink"/>
            <w:b/>
            <w:szCs w:val="21"/>
          </w:rPr>
          <w:t>all regional accreditation agencies’ standards, criteria and principles</w:t>
        </w:r>
      </w:hyperlink>
      <w:r w:rsidR="008051EB" w:rsidRPr="00FE2026">
        <w:rPr>
          <w:b/>
          <w:szCs w:val="21"/>
        </w:rPr>
        <w:t>.  Your institution’s accessibility work</w:t>
      </w:r>
      <w:r w:rsidR="00CA5D70" w:rsidRPr="00FE2026">
        <w:rPr>
          <w:b/>
          <w:szCs w:val="21"/>
        </w:rPr>
        <w:t xml:space="preserve"> may be useful in helping make your case for compliance as you prepare for reaffirmation</w:t>
      </w:r>
      <w:r w:rsidR="00C91FBA" w:rsidRPr="00FE2026">
        <w:rPr>
          <w:b/>
          <w:szCs w:val="21"/>
        </w:rPr>
        <w:t xml:space="preserve">.  You may even be able to </w:t>
      </w:r>
      <w:hyperlink r:id="rId9" w:history="1">
        <w:r w:rsidR="00C91FBA" w:rsidRPr="00FE2026">
          <w:rPr>
            <w:rStyle w:val="Hyperlink"/>
            <w:b/>
            <w:szCs w:val="21"/>
          </w:rPr>
          <w:t>use your efforts as a component in</w:t>
        </w:r>
        <w:r w:rsidR="008051EB" w:rsidRPr="00FE2026">
          <w:rPr>
            <w:rStyle w:val="Hyperlink"/>
            <w:b/>
            <w:szCs w:val="21"/>
          </w:rPr>
          <w:t xml:space="preserve"> </w:t>
        </w:r>
        <w:r w:rsidR="00F42C4B" w:rsidRPr="00FE2026">
          <w:rPr>
            <w:rStyle w:val="Hyperlink"/>
            <w:b/>
            <w:szCs w:val="21"/>
          </w:rPr>
          <w:t>quality improvement plans</w:t>
        </w:r>
      </w:hyperlink>
      <w:r w:rsidR="00C91FBA" w:rsidRPr="00FE2026">
        <w:rPr>
          <w:b/>
          <w:szCs w:val="21"/>
        </w:rPr>
        <w:t xml:space="preserve">. </w:t>
      </w:r>
    </w:p>
    <w:p w:rsidR="00430E21" w:rsidRPr="00FE2026" w:rsidRDefault="00F50518" w:rsidP="0082691C">
      <w:pPr>
        <w:spacing w:after="120" w:line="264" w:lineRule="auto"/>
        <w:rPr>
          <w:szCs w:val="21"/>
        </w:rPr>
      </w:pPr>
      <w:r w:rsidRPr="00FE2026">
        <w:rPr>
          <w:szCs w:val="21"/>
        </w:rPr>
        <w:t>While each institution is different and you will have to look at your web accessibility efforts in terms of your own academic venue, you may find</w:t>
      </w:r>
      <w:r w:rsidR="00F42C4B" w:rsidRPr="00FE2026">
        <w:rPr>
          <w:szCs w:val="21"/>
        </w:rPr>
        <w:t xml:space="preserve"> a multitude of opportunities to use your digital accessibility efforts as evidence of compliance for your regional accreditor or as part of your quality enhancement </w:t>
      </w:r>
      <w:r w:rsidR="00BB6564" w:rsidRPr="00FE2026">
        <w:rPr>
          <w:szCs w:val="21"/>
        </w:rPr>
        <w:t>schemas</w:t>
      </w:r>
      <w:r w:rsidR="00F42C4B" w:rsidRPr="00FE2026">
        <w:rPr>
          <w:szCs w:val="21"/>
        </w:rPr>
        <w:t xml:space="preserve">.   </w:t>
      </w:r>
    </w:p>
    <w:p w:rsidR="00C73380" w:rsidRPr="00FE2026" w:rsidRDefault="00390E93" w:rsidP="0082691C">
      <w:pPr>
        <w:spacing w:after="120" w:line="264" w:lineRule="auto"/>
        <w:rPr>
          <w:szCs w:val="21"/>
        </w:rPr>
      </w:pPr>
      <w:r w:rsidRPr="00FE2026">
        <w:rPr>
          <w:szCs w:val="21"/>
        </w:rPr>
        <w:t xml:space="preserve">These templates are provided to help you to organize and outline your evidence. </w:t>
      </w:r>
      <w:r w:rsidR="00E514AA" w:rsidRPr="00FE2026">
        <w:rPr>
          <w:szCs w:val="21"/>
        </w:rPr>
        <w:t xml:space="preserve">Some examples of evidence are provided for each benchmark.  However, they do not represent the full spectrum of evidence that may be appropriate for your institution.  </w:t>
      </w:r>
    </w:p>
    <w:p w:rsidR="009A1BF4" w:rsidRDefault="00F50518" w:rsidP="0082691C">
      <w:pPr>
        <w:spacing w:after="120" w:line="264" w:lineRule="auto"/>
        <w:rPr>
          <w:szCs w:val="21"/>
        </w:rPr>
      </w:pPr>
      <w:r w:rsidRPr="00FE2026">
        <w:rPr>
          <w:szCs w:val="21"/>
        </w:rPr>
        <w:t xml:space="preserve">Please feel free to use and adapt the </w:t>
      </w:r>
      <w:r w:rsidR="00390E93" w:rsidRPr="00FE2026">
        <w:rPr>
          <w:szCs w:val="21"/>
        </w:rPr>
        <w:t xml:space="preserve">templates to best suit your institutional needs.  </w:t>
      </w:r>
      <w:r w:rsidR="00F82B14" w:rsidRPr="00FE2026">
        <w:rPr>
          <w:szCs w:val="21"/>
        </w:rPr>
        <w:t>Depending upon the conventions of your accrediting agency, you may choose to highlight your web accessibility efforts as a whole, describing how each benchmark is applicable to the requirements of your agency</w:t>
      </w:r>
      <w:r w:rsidR="00783970" w:rsidRPr="00FE2026">
        <w:rPr>
          <w:szCs w:val="21"/>
        </w:rPr>
        <w:t>;</w:t>
      </w:r>
      <w:r w:rsidR="00F82B14" w:rsidRPr="00FE2026">
        <w:rPr>
          <w:szCs w:val="21"/>
        </w:rPr>
        <w:t xml:space="preserve"> you may choose to embed specific benchmarks into the narrative of your evidence for a given principle, criteria or standard</w:t>
      </w:r>
      <w:r w:rsidR="00783970" w:rsidRPr="00FE2026">
        <w:rPr>
          <w:szCs w:val="21"/>
        </w:rPr>
        <w:t>;</w:t>
      </w:r>
      <w:r w:rsidR="005C1EB5">
        <w:rPr>
          <w:szCs w:val="21"/>
        </w:rPr>
        <w:t xml:space="preserve"> you may choose to embed web accessibility into you</w:t>
      </w:r>
      <w:r w:rsidR="003D781E">
        <w:rPr>
          <w:szCs w:val="21"/>
        </w:rPr>
        <w:t>r</w:t>
      </w:r>
      <w:r w:rsidR="005C1EB5">
        <w:rPr>
          <w:szCs w:val="21"/>
        </w:rPr>
        <w:t xml:space="preserve"> quality improvement plans and use the templates to structure your impact </w:t>
      </w:r>
      <w:r w:rsidR="00783970" w:rsidRPr="00FE2026">
        <w:rPr>
          <w:szCs w:val="21"/>
        </w:rPr>
        <w:t>or, y</w:t>
      </w:r>
      <w:r w:rsidR="00390E93" w:rsidRPr="00FE2026">
        <w:rPr>
          <w:szCs w:val="21"/>
        </w:rPr>
        <w:t>ou may</w:t>
      </w:r>
      <w:r w:rsidR="001E2659" w:rsidRPr="00FE2026">
        <w:rPr>
          <w:szCs w:val="21"/>
        </w:rPr>
        <w:t xml:space="preserve"> </w:t>
      </w:r>
      <w:r w:rsidR="00783970" w:rsidRPr="00FE2026">
        <w:rPr>
          <w:szCs w:val="21"/>
        </w:rPr>
        <w:t xml:space="preserve">adapt the template in any other way that </w:t>
      </w:r>
      <w:r w:rsidR="00AD20F1" w:rsidRPr="00FE2026">
        <w:rPr>
          <w:szCs w:val="21"/>
        </w:rPr>
        <w:t>makes sense for your venue.  You can</w:t>
      </w:r>
      <w:r w:rsidR="00783970" w:rsidRPr="00FE2026">
        <w:rPr>
          <w:szCs w:val="21"/>
        </w:rPr>
        <w:t xml:space="preserve"> </w:t>
      </w:r>
      <w:r w:rsidR="00390E93" w:rsidRPr="00FE2026">
        <w:rPr>
          <w:szCs w:val="21"/>
        </w:rPr>
        <w:t>cut and paste the pieces into other reports</w:t>
      </w:r>
      <w:r w:rsidR="00AD20F1" w:rsidRPr="00FE2026">
        <w:rPr>
          <w:szCs w:val="21"/>
        </w:rPr>
        <w:t xml:space="preserve">, </w:t>
      </w:r>
      <w:r w:rsidR="00390E93" w:rsidRPr="00FE2026">
        <w:rPr>
          <w:szCs w:val="21"/>
        </w:rPr>
        <w:t>add additional columns and outlines</w:t>
      </w:r>
      <w:r w:rsidR="00AD20F1" w:rsidRPr="00FE2026">
        <w:rPr>
          <w:szCs w:val="21"/>
        </w:rPr>
        <w:t xml:space="preserve">, mix and match, or consolidate the information </w:t>
      </w:r>
      <w:r w:rsidR="00390E93" w:rsidRPr="00FE2026">
        <w:rPr>
          <w:szCs w:val="21"/>
        </w:rPr>
        <w:t>as you see fit</w:t>
      </w:r>
      <w:r w:rsidR="00BD637F">
        <w:rPr>
          <w:szCs w:val="21"/>
        </w:rPr>
        <w:t>.</w:t>
      </w:r>
      <w:r w:rsidR="00BB6564" w:rsidRPr="00FE2026">
        <w:rPr>
          <w:szCs w:val="21"/>
        </w:rPr>
        <w:t xml:space="preserve">  </w:t>
      </w:r>
    </w:p>
    <w:p w:rsidR="009A1BF4" w:rsidRPr="00FE2026" w:rsidRDefault="009A1BF4" w:rsidP="0082691C">
      <w:pPr>
        <w:spacing w:after="120" w:line="264" w:lineRule="auto"/>
        <w:rPr>
          <w:szCs w:val="21"/>
        </w:rPr>
      </w:pPr>
      <w:r w:rsidRPr="00FE2026">
        <w:rPr>
          <w:b/>
          <w:szCs w:val="21"/>
        </w:rPr>
        <w:t>Please note</w:t>
      </w:r>
      <w:r w:rsidRPr="00FE2026">
        <w:rPr>
          <w:szCs w:val="21"/>
        </w:rPr>
        <w:t xml:space="preserve">: The template format is the same for all benchmarks </w:t>
      </w:r>
      <w:r w:rsidRPr="00FE2026">
        <w:rPr>
          <w:b/>
          <w:i/>
          <w:szCs w:val="21"/>
        </w:rPr>
        <w:t>except</w:t>
      </w:r>
      <w:r w:rsidRPr="00FE2026">
        <w:rPr>
          <w:szCs w:val="21"/>
        </w:rPr>
        <w:t xml:space="preserve"> the templates for </w:t>
      </w:r>
      <w:r w:rsidRPr="00FE2026">
        <w:rPr>
          <w:i/>
          <w:szCs w:val="21"/>
          <w:u w:val="single"/>
        </w:rPr>
        <w:t>Indicator 2, Benchmarks B and C</w:t>
      </w:r>
      <w:r w:rsidRPr="00FE2026">
        <w:rPr>
          <w:szCs w:val="21"/>
        </w:rPr>
        <w:t xml:space="preserve">: (An Accessibility Policy and A Written Accessibility Plan).  These templates are set up </w:t>
      </w:r>
      <w:r>
        <w:rPr>
          <w:szCs w:val="21"/>
        </w:rPr>
        <w:t>to indicate the robustness of the documents based on important components that should be included in comprehensive policies or plans.</w:t>
      </w:r>
    </w:p>
    <w:p w:rsidR="00BD126E" w:rsidRPr="00FE2026" w:rsidRDefault="00BD126E" w:rsidP="00FE2026">
      <w:pPr>
        <w:spacing w:after="120"/>
        <w:rPr>
          <w:szCs w:val="21"/>
        </w:rPr>
        <w:sectPr w:rsidR="00BD126E" w:rsidRPr="00FE2026" w:rsidSect="00BD126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6528" w:rsidRPr="00531479" w:rsidRDefault="005A6528" w:rsidP="00531479">
      <w:pPr>
        <w:pStyle w:val="Heading1"/>
      </w:pPr>
      <w:r w:rsidRPr="00531479">
        <w:lastRenderedPageBreak/>
        <w:t>Indicator #1: Institutional Vision and Leadership Commitment</w:t>
      </w:r>
    </w:p>
    <w:p w:rsidR="00BF7F75" w:rsidRPr="00531479" w:rsidRDefault="005A6528" w:rsidP="00531479">
      <w:pPr>
        <w:pStyle w:val="Heading2"/>
      </w:pPr>
      <w:r w:rsidRPr="00531479">
        <w:t>Benchmark A: The Commitment of Administrative Leadership</w:t>
      </w:r>
    </w:p>
    <w:p w:rsidR="005A6528" w:rsidRPr="005A6528" w:rsidRDefault="005A6528" w:rsidP="005A6528">
      <w:pPr>
        <w:pStyle w:val="Evidence"/>
        <w:sectPr w:rsidR="005A6528" w:rsidRPr="005A6528" w:rsidSect="005E4DE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5A6528">
        <w:t xml:space="preserve">Evidence of Administrative Leadership </w:t>
      </w:r>
      <w:r>
        <w:t>can</w:t>
      </w:r>
      <w:r w:rsidRPr="005A6528">
        <w:t xml:space="preserve"> include:</w:t>
      </w:r>
    </w:p>
    <w:p w:rsidR="001A637D" w:rsidRPr="001A637D" w:rsidRDefault="001A637D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1A637D">
        <w:rPr>
          <w:sz w:val="20"/>
        </w:rPr>
        <w:lastRenderedPageBreak/>
        <w:t xml:space="preserve">A </w:t>
      </w:r>
      <w:r w:rsidR="00300CEA">
        <w:rPr>
          <w:sz w:val="20"/>
        </w:rPr>
        <w:t xml:space="preserve">posted </w:t>
      </w:r>
      <w:r w:rsidRPr="001A637D">
        <w:rPr>
          <w:sz w:val="20"/>
        </w:rPr>
        <w:t>statement of vision or commitment</w:t>
      </w:r>
    </w:p>
    <w:p w:rsidR="001A637D" w:rsidRPr="001A637D" w:rsidRDefault="001A637D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1A637D">
        <w:rPr>
          <w:sz w:val="20"/>
        </w:rPr>
        <w:t>The creation and maintenance of a web accessibility task force or institution-wide accessibility group</w:t>
      </w:r>
    </w:p>
    <w:p w:rsidR="001A637D" w:rsidRPr="001A637D" w:rsidRDefault="00300CEA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t>An official</w:t>
      </w:r>
      <w:r w:rsidR="001A637D" w:rsidRPr="001A637D">
        <w:rPr>
          <w:sz w:val="20"/>
        </w:rPr>
        <w:t xml:space="preserve"> institutional policy on web accessibility</w:t>
      </w:r>
    </w:p>
    <w:p w:rsidR="001A637D" w:rsidRPr="001A637D" w:rsidRDefault="00E37EA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t>A</w:t>
      </w:r>
      <w:r w:rsidR="001A637D" w:rsidRPr="001A637D">
        <w:rPr>
          <w:sz w:val="20"/>
        </w:rPr>
        <w:t>n institution-wide accessibility action plan</w:t>
      </w:r>
    </w:p>
    <w:p w:rsidR="001A637D" w:rsidRPr="001A637D" w:rsidRDefault="001A637D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1A637D">
        <w:rPr>
          <w:sz w:val="20"/>
        </w:rPr>
        <w:lastRenderedPageBreak/>
        <w:t>Resources</w:t>
      </w:r>
      <w:r w:rsidR="00BD6AF5">
        <w:rPr>
          <w:sz w:val="20"/>
        </w:rPr>
        <w:t xml:space="preserve"> that</w:t>
      </w:r>
      <w:r w:rsidRPr="001A637D">
        <w:rPr>
          <w:sz w:val="20"/>
        </w:rPr>
        <w:t xml:space="preserve"> are available for web accessibility efforts</w:t>
      </w:r>
    </w:p>
    <w:p w:rsidR="001A637D" w:rsidRPr="001A637D" w:rsidRDefault="001936A8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t>Activities</w:t>
      </w:r>
      <w:r w:rsidR="00E37EA2">
        <w:rPr>
          <w:sz w:val="20"/>
        </w:rPr>
        <w:t xml:space="preserve"> to promote </w:t>
      </w:r>
      <w:r w:rsidR="00BD6AF5">
        <w:rPr>
          <w:sz w:val="20"/>
        </w:rPr>
        <w:t>the v</w:t>
      </w:r>
      <w:r w:rsidR="001A637D" w:rsidRPr="001A637D">
        <w:rPr>
          <w:sz w:val="20"/>
        </w:rPr>
        <w:t xml:space="preserve">isibility, </w:t>
      </w:r>
      <w:r w:rsidR="00E37EA2">
        <w:rPr>
          <w:sz w:val="20"/>
        </w:rPr>
        <w:t>endorsement</w:t>
      </w:r>
      <w:r w:rsidR="001A637D" w:rsidRPr="001A637D">
        <w:rPr>
          <w:sz w:val="20"/>
        </w:rPr>
        <w:t xml:space="preserve"> and communication of web accessibility efforts</w:t>
      </w:r>
    </w:p>
    <w:p w:rsidR="001A637D" w:rsidRDefault="001A637D"/>
    <w:p w:rsidR="00BD6AF5" w:rsidRDefault="00BD6AF5">
      <w:pPr>
        <w:sectPr w:rsidR="00BD6AF5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3E46CF" w:rsidRPr="00AC4641" w:rsidRDefault="00052143" w:rsidP="006167B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</w:t>
            </w:r>
            <w:r w:rsidR="003E46CF">
              <w:rPr>
                <w:b/>
                <w:i/>
                <w:sz w:val="24"/>
              </w:rPr>
              <w:t>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531479" w:rsidRDefault="00531479" w:rsidP="00531479">
      <w:pPr>
        <w:pStyle w:val="Heading2"/>
      </w:pPr>
      <w:r>
        <w:t xml:space="preserve">Benchmark B: Relevant Stakeholder Participation </w:t>
      </w:r>
    </w:p>
    <w:p w:rsidR="00531479" w:rsidRPr="005A6528" w:rsidRDefault="00531479" w:rsidP="00531479">
      <w:pPr>
        <w:pStyle w:val="Evidence"/>
        <w:sectPr w:rsidR="00531479" w:rsidRPr="005A6528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5A6528">
        <w:t xml:space="preserve">Evidence of </w:t>
      </w:r>
      <w:r>
        <w:t>Stakeholder Participation</w:t>
      </w:r>
      <w:r w:rsidRPr="005A6528">
        <w:t xml:space="preserve"> </w:t>
      </w:r>
      <w:r>
        <w:t>can</w:t>
      </w:r>
      <w:r w:rsidRPr="005A6528">
        <w:t xml:space="preserve"> include:</w:t>
      </w:r>
    </w:p>
    <w:p w:rsidR="001A637D" w:rsidRPr="004539F1" w:rsidRDefault="00FC138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4539F1">
        <w:rPr>
          <w:sz w:val="20"/>
        </w:rPr>
        <w:lastRenderedPageBreak/>
        <w:t>T</w:t>
      </w:r>
      <w:r w:rsidR="00BD6AF5" w:rsidRPr="004539F1">
        <w:rPr>
          <w:sz w:val="20"/>
        </w:rPr>
        <w:t>he participation of i</w:t>
      </w:r>
      <w:r w:rsidR="001A637D" w:rsidRPr="004539F1">
        <w:rPr>
          <w:sz w:val="20"/>
        </w:rPr>
        <w:t>ndividuals who represent the full range of stakeholders in institution-wide planning and continuous improvement</w:t>
      </w:r>
    </w:p>
    <w:p w:rsidR="001A637D" w:rsidRDefault="00FC138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t>E</w:t>
      </w:r>
      <w:r w:rsidR="00BD6AF5">
        <w:rPr>
          <w:sz w:val="20"/>
        </w:rPr>
        <w:t xml:space="preserve">ngagement </w:t>
      </w:r>
      <w:r>
        <w:rPr>
          <w:sz w:val="20"/>
        </w:rPr>
        <w:t>by</w:t>
      </w:r>
      <w:r w:rsidR="00BD6AF5">
        <w:rPr>
          <w:sz w:val="20"/>
        </w:rPr>
        <w:t xml:space="preserve"> p</w:t>
      </w:r>
      <w:r w:rsidR="001A637D" w:rsidRPr="007E4DF2">
        <w:rPr>
          <w:sz w:val="20"/>
        </w:rPr>
        <w:t>ersonnel in professional development that includes or is focused on web accessibility</w:t>
      </w:r>
    </w:p>
    <w:p w:rsidR="001A637D" w:rsidRPr="007E4DF2" w:rsidRDefault="00FC138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lastRenderedPageBreak/>
        <w:t>F</w:t>
      </w:r>
      <w:r w:rsidR="001A637D" w:rsidRPr="007E4DF2">
        <w:rPr>
          <w:sz w:val="20"/>
        </w:rPr>
        <w:t>aculty, staff and students</w:t>
      </w:r>
      <w:r>
        <w:rPr>
          <w:sz w:val="20"/>
        </w:rPr>
        <w:t xml:space="preserve"> </w:t>
      </w:r>
      <w:r w:rsidR="00AB116F">
        <w:rPr>
          <w:sz w:val="20"/>
        </w:rPr>
        <w:t>who</w:t>
      </w:r>
      <w:r w:rsidR="00AB116F" w:rsidRPr="007E4DF2">
        <w:rPr>
          <w:sz w:val="20"/>
        </w:rPr>
        <w:t xml:space="preserve"> </w:t>
      </w:r>
      <w:r w:rsidR="001A637D" w:rsidRPr="007E4DF2">
        <w:rPr>
          <w:sz w:val="20"/>
        </w:rPr>
        <w:t>take responsibility for web accessibility outcomes within their purview</w:t>
      </w:r>
    </w:p>
    <w:p w:rsidR="00E91545" w:rsidRPr="007E4DF2" w:rsidRDefault="00FC138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t>Available s</w:t>
      </w:r>
      <w:r w:rsidR="001A637D" w:rsidRPr="007E4DF2">
        <w:rPr>
          <w:sz w:val="20"/>
        </w:rPr>
        <w:t>ystems for individuals to provide feedback on the implementation and outcomes of web accessibility</w:t>
      </w:r>
    </w:p>
    <w:p w:rsidR="007E4DF2" w:rsidRDefault="007E4DF2" w:rsidP="001A637D"/>
    <w:p w:rsidR="002E719F" w:rsidRDefault="002E719F" w:rsidP="001A637D">
      <w:pPr>
        <w:sectPr w:rsidR="002E719F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531479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531479" w:rsidRPr="00AC4641" w:rsidRDefault="00531479" w:rsidP="006167BD">
            <w:pPr>
              <w:jc w:val="center"/>
              <w:rPr>
                <w:b/>
                <w:sz w:val="28"/>
              </w:rPr>
            </w:pPr>
          </w:p>
        </w:tc>
      </w:tr>
      <w:tr w:rsidR="00531479" w:rsidRPr="00AC4641" w:rsidTr="006167BD">
        <w:tc>
          <w:tcPr>
            <w:tcW w:w="1908" w:type="dxa"/>
            <w:vAlign w:val="center"/>
          </w:tcPr>
          <w:p w:rsidR="00531479" w:rsidRPr="00AC4641" w:rsidRDefault="00531479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531479" w:rsidRPr="00AC4641" w:rsidRDefault="00531479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531479" w:rsidRPr="00AC4641" w:rsidRDefault="00531479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531479" w:rsidRPr="00AC4641" w:rsidRDefault="00531479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531479" w:rsidRPr="00AC4641" w:rsidTr="006167BD">
        <w:tc>
          <w:tcPr>
            <w:tcW w:w="1908" w:type="dxa"/>
          </w:tcPr>
          <w:p w:rsidR="00531479" w:rsidRPr="00AC4641" w:rsidRDefault="00531479" w:rsidP="006167BD"/>
        </w:tc>
        <w:tc>
          <w:tcPr>
            <w:tcW w:w="3330" w:type="dxa"/>
          </w:tcPr>
          <w:p w:rsidR="00531479" w:rsidRPr="00AC4641" w:rsidRDefault="00531479" w:rsidP="006167BD"/>
        </w:tc>
        <w:tc>
          <w:tcPr>
            <w:tcW w:w="2430" w:type="dxa"/>
          </w:tcPr>
          <w:p w:rsidR="00531479" w:rsidRPr="00AC4641" w:rsidRDefault="00531479" w:rsidP="006167BD"/>
        </w:tc>
        <w:tc>
          <w:tcPr>
            <w:tcW w:w="1908" w:type="dxa"/>
          </w:tcPr>
          <w:p w:rsidR="00531479" w:rsidRPr="00AC4641" w:rsidRDefault="00531479" w:rsidP="006167BD"/>
        </w:tc>
      </w:tr>
      <w:tr w:rsidR="00531479" w:rsidRPr="00AC4641" w:rsidTr="006167BD">
        <w:tc>
          <w:tcPr>
            <w:tcW w:w="1908" w:type="dxa"/>
          </w:tcPr>
          <w:p w:rsidR="00531479" w:rsidRPr="00AC4641" w:rsidRDefault="00531479" w:rsidP="006167BD"/>
        </w:tc>
        <w:tc>
          <w:tcPr>
            <w:tcW w:w="3330" w:type="dxa"/>
          </w:tcPr>
          <w:p w:rsidR="00531479" w:rsidRPr="00AC4641" w:rsidRDefault="00531479" w:rsidP="006167BD"/>
        </w:tc>
        <w:tc>
          <w:tcPr>
            <w:tcW w:w="2430" w:type="dxa"/>
          </w:tcPr>
          <w:p w:rsidR="00531479" w:rsidRPr="00AC4641" w:rsidRDefault="00531479" w:rsidP="006167BD"/>
        </w:tc>
        <w:tc>
          <w:tcPr>
            <w:tcW w:w="1908" w:type="dxa"/>
          </w:tcPr>
          <w:p w:rsidR="00531479" w:rsidRPr="00AC4641" w:rsidRDefault="00531479" w:rsidP="006167BD"/>
        </w:tc>
      </w:tr>
      <w:tr w:rsidR="00531479" w:rsidRPr="00AC4641" w:rsidTr="006167BD">
        <w:tc>
          <w:tcPr>
            <w:tcW w:w="1908" w:type="dxa"/>
          </w:tcPr>
          <w:p w:rsidR="00531479" w:rsidRPr="00AC4641" w:rsidRDefault="00531479" w:rsidP="006167BD"/>
        </w:tc>
        <w:tc>
          <w:tcPr>
            <w:tcW w:w="3330" w:type="dxa"/>
          </w:tcPr>
          <w:p w:rsidR="00531479" w:rsidRPr="00AC4641" w:rsidRDefault="00531479" w:rsidP="006167BD"/>
        </w:tc>
        <w:tc>
          <w:tcPr>
            <w:tcW w:w="2430" w:type="dxa"/>
          </w:tcPr>
          <w:p w:rsidR="00531479" w:rsidRPr="00AC4641" w:rsidRDefault="00531479" w:rsidP="006167BD"/>
        </w:tc>
        <w:tc>
          <w:tcPr>
            <w:tcW w:w="1908" w:type="dxa"/>
          </w:tcPr>
          <w:p w:rsidR="00531479" w:rsidRPr="00AC4641" w:rsidRDefault="00531479" w:rsidP="006167BD"/>
        </w:tc>
      </w:tr>
      <w:tr w:rsidR="00531479" w:rsidRPr="00AC4641" w:rsidTr="006167BD">
        <w:tc>
          <w:tcPr>
            <w:tcW w:w="1908" w:type="dxa"/>
          </w:tcPr>
          <w:p w:rsidR="00531479" w:rsidRPr="00AC4641" w:rsidRDefault="00531479" w:rsidP="006167BD"/>
        </w:tc>
        <w:tc>
          <w:tcPr>
            <w:tcW w:w="3330" w:type="dxa"/>
          </w:tcPr>
          <w:p w:rsidR="00531479" w:rsidRPr="00AC4641" w:rsidRDefault="00531479" w:rsidP="006167BD"/>
        </w:tc>
        <w:tc>
          <w:tcPr>
            <w:tcW w:w="2430" w:type="dxa"/>
          </w:tcPr>
          <w:p w:rsidR="00531479" w:rsidRPr="00AC4641" w:rsidRDefault="00531479" w:rsidP="006167BD"/>
        </w:tc>
        <w:tc>
          <w:tcPr>
            <w:tcW w:w="1908" w:type="dxa"/>
          </w:tcPr>
          <w:p w:rsidR="00531479" w:rsidRPr="00AC4641" w:rsidRDefault="00531479" w:rsidP="006167BD"/>
        </w:tc>
      </w:tr>
      <w:tr w:rsidR="0043068B" w:rsidRPr="00AC4641" w:rsidTr="006167BD">
        <w:tc>
          <w:tcPr>
            <w:tcW w:w="9576" w:type="dxa"/>
            <w:gridSpan w:val="4"/>
          </w:tcPr>
          <w:p w:rsidR="0043068B" w:rsidRPr="0043068B" w:rsidRDefault="0043068B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43068B" w:rsidRDefault="0043068B" w:rsidP="006167BD"/>
          <w:p w:rsidR="0043068B" w:rsidRPr="00AC4641" w:rsidRDefault="0043068B" w:rsidP="006167BD"/>
        </w:tc>
      </w:tr>
    </w:tbl>
    <w:p w:rsidR="007E4DF2" w:rsidRDefault="007E4DF2" w:rsidP="001A637D"/>
    <w:p w:rsidR="00C2327E" w:rsidRDefault="005E4DE6" w:rsidP="00EF5337">
      <w:pPr>
        <w:pStyle w:val="Heading1"/>
      </w:pPr>
      <w:r>
        <w:br w:type="page"/>
      </w:r>
      <w:r w:rsidR="00C2327E">
        <w:lastRenderedPageBreak/>
        <w:t>Indicator #2: Planning and Implementation</w:t>
      </w:r>
    </w:p>
    <w:p w:rsidR="00C2327E" w:rsidRDefault="00C2327E" w:rsidP="00C2327E">
      <w:pPr>
        <w:pStyle w:val="Heading2"/>
      </w:pPr>
      <w:r>
        <w:t xml:space="preserve">Benchmark A: </w:t>
      </w:r>
      <w:r w:rsidR="00463DAC">
        <w:t xml:space="preserve">The </w:t>
      </w:r>
      <w:r>
        <w:t>Inclusion of Key Personnel</w:t>
      </w:r>
    </w:p>
    <w:p w:rsidR="00C2327E" w:rsidRDefault="00C2327E" w:rsidP="00C2327E">
      <w:pPr>
        <w:pStyle w:val="Evidence"/>
      </w:pPr>
      <w:r w:rsidRPr="005A6528">
        <w:t xml:space="preserve">Evidence of </w:t>
      </w:r>
      <w:r>
        <w:t>the Inclusion of Key Personnel</w:t>
      </w:r>
      <w:r w:rsidRPr="005A6528">
        <w:t xml:space="preserve"> </w:t>
      </w:r>
      <w:r>
        <w:t>can</w:t>
      </w:r>
      <w:r w:rsidRPr="005A6528">
        <w:t xml:space="preserve"> include:</w:t>
      </w:r>
    </w:p>
    <w:p w:rsidR="00C2327E" w:rsidRDefault="00C2327E" w:rsidP="00C2327E">
      <w:pPr>
        <w:pStyle w:val="Evidence"/>
        <w:sectPr w:rsidR="00C2327E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2327E" w:rsidRPr="004539F1" w:rsidRDefault="00C2327E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4539F1">
        <w:rPr>
          <w:sz w:val="20"/>
        </w:rPr>
        <w:lastRenderedPageBreak/>
        <w:t>Involvement of key accessibility personnel and those they represent in policy development</w:t>
      </w:r>
    </w:p>
    <w:p w:rsidR="00C2327E" w:rsidRPr="004539F1" w:rsidRDefault="00C2327E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4539F1">
        <w:rPr>
          <w:sz w:val="20"/>
        </w:rPr>
        <w:t>Involvement of key accessibility personnel and stakeholder groups in the development of an institution-wide web accessibility plan</w:t>
      </w:r>
    </w:p>
    <w:p w:rsidR="00C2327E" w:rsidRPr="004539F1" w:rsidRDefault="00C2327E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4539F1">
        <w:rPr>
          <w:sz w:val="20"/>
        </w:rPr>
        <w:lastRenderedPageBreak/>
        <w:t>Involvement of key accessibility personnel and stakeholders in the implementation of an institution-wide web accessibility plan</w:t>
      </w:r>
    </w:p>
    <w:p w:rsidR="004539F1" w:rsidRDefault="004539F1" w:rsidP="0043068B">
      <w:pPr>
        <w:pStyle w:val="EvidenceList"/>
        <w:numPr>
          <w:ilvl w:val="0"/>
          <w:numId w:val="0"/>
        </w:numPr>
        <w:ind w:left="360"/>
        <w:sectPr w:rsidR="004539F1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p w:rsidR="0043068B" w:rsidRDefault="0043068B" w:rsidP="0043068B">
      <w:pPr>
        <w:pStyle w:val="Evidence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43068B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This benchmark specifically supports requirements or plans by:</w:t>
            </w:r>
          </w:p>
          <w:p w:rsidR="0043068B" w:rsidRPr="00AC4641" w:rsidRDefault="0043068B" w:rsidP="006167BD">
            <w:pPr>
              <w:jc w:val="center"/>
              <w:rPr>
                <w:b/>
                <w:sz w:val="28"/>
              </w:rPr>
            </w:pPr>
          </w:p>
        </w:tc>
      </w:tr>
      <w:tr w:rsidR="0043068B" w:rsidRPr="00AC4641" w:rsidTr="006167BD">
        <w:tc>
          <w:tcPr>
            <w:tcW w:w="1908" w:type="dxa"/>
            <w:vAlign w:val="center"/>
          </w:tcPr>
          <w:p w:rsidR="0043068B" w:rsidRPr="00AC4641" w:rsidRDefault="0043068B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43068B" w:rsidRPr="00AC4641" w:rsidRDefault="0043068B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43068B" w:rsidRPr="00AC4641" w:rsidRDefault="0043068B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43068B" w:rsidRPr="00AC4641" w:rsidRDefault="0043068B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43068B" w:rsidRPr="00AC4641" w:rsidTr="006167BD">
        <w:tc>
          <w:tcPr>
            <w:tcW w:w="1908" w:type="dxa"/>
          </w:tcPr>
          <w:p w:rsidR="0043068B" w:rsidRPr="00AC4641" w:rsidRDefault="0043068B" w:rsidP="006167BD"/>
        </w:tc>
        <w:tc>
          <w:tcPr>
            <w:tcW w:w="3330" w:type="dxa"/>
          </w:tcPr>
          <w:p w:rsidR="0043068B" w:rsidRPr="00AC4641" w:rsidRDefault="0043068B" w:rsidP="006167BD"/>
        </w:tc>
        <w:tc>
          <w:tcPr>
            <w:tcW w:w="2430" w:type="dxa"/>
          </w:tcPr>
          <w:p w:rsidR="0043068B" w:rsidRPr="00AC4641" w:rsidRDefault="0043068B" w:rsidP="006167BD"/>
        </w:tc>
        <w:tc>
          <w:tcPr>
            <w:tcW w:w="1908" w:type="dxa"/>
          </w:tcPr>
          <w:p w:rsidR="0043068B" w:rsidRPr="00AC4641" w:rsidRDefault="0043068B" w:rsidP="006167BD"/>
        </w:tc>
      </w:tr>
      <w:tr w:rsidR="0043068B" w:rsidRPr="00AC4641" w:rsidTr="006167BD">
        <w:tc>
          <w:tcPr>
            <w:tcW w:w="1908" w:type="dxa"/>
          </w:tcPr>
          <w:p w:rsidR="0043068B" w:rsidRPr="00AC4641" w:rsidRDefault="0043068B" w:rsidP="006167BD"/>
        </w:tc>
        <w:tc>
          <w:tcPr>
            <w:tcW w:w="3330" w:type="dxa"/>
          </w:tcPr>
          <w:p w:rsidR="0043068B" w:rsidRPr="00AC4641" w:rsidRDefault="0043068B" w:rsidP="006167BD"/>
        </w:tc>
        <w:tc>
          <w:tcPr>
            <w:tcW w:w="2430" w:type="dxa"/>
          </w:tcPr>
          <w:p w:rsidR="0043068B" w:rsidRPr="00AC4641" w:rsidRDefault="0043068B" w:rsidP="006167BD"/>
        </w:tc>
        <w:tc>
          <w:tcPr>
            <w:tcW w:w="1908" w:type="dxa"/>
          </w:tcPr>
          <w:p w:rsidR="0043068B" w:rsidRPr="00AC4641" w:rsidRDefault="0043068B" w:rsidP="006167BD"/>
        </w:tc>
      </w:tr>
      <w:tr w:rsidR="0043068B" w:rsidRPr="00AC4641" w:rsidTr="006167BD">
        <w:tc>
          <w:tcPr>
            <w:tcW w:w="1908" w:type="dxa"/>
          </w:tcPr>
          <w:p w:rsidR="0043068B" w:rsidRPr="00AC4641" w:rsidRDefault="0043068B" w:rsidP="006167BD"/>
        </w:tc>
        <w:tc>
          <w:tcPr>
            <w:tcW w:w="3330" w:type="dxa"/>
          </w:tcPr>
          <w:p w:rsidR="0043068B" w:rsidRPr="00AC4641" w:rsidRDefault="0043068B" w:rsidP="006167BD"/>
        </w:tc>
        <w:tc>
          <w:tcPr>
            <w:tcW w:w="2430" w:type="dxa"/>
          </w:tcPr>
          <w:p w:rsidR="0043068B" w:rsidRPr="00AC4641" w:rsidRDefault="0043068B" w:rsidP="006167BD"/>
        </w:tc>
        <w:tc>
          <w:tcPr>
            <w:tcW w:w="1908" w:type="dxa"/>
          </w:tcPr>
          <w:p w:rsidR="0043068B" w:rsidRPr="00AC4641" w:rsidRDefault="0043068B" w:rsidP="006167BD"/>
        </w:tc>
      </w:tr>
      <w:tr w:rsidR="0043068B" w:rsidRPr="00AC4641" w:rsidTr="006167BD">
        <w:tc>
          <w:tcPr>
            <w:tcW w:w="1908" w:type="dxa"/>
          </w:tcPr>
          <w:p w:rsidR="0043068B" w:rsidRPr="00AC4641" w:rsidRDefault="0043068B" w:rsidP="006167BD"/>
        </w:tc>
        <w:tc>
          <w:tcPr>
            <w:tcW w:w="3330" w:type="dxa"/>
          </w:tcPr>
          <w:p w:rsidR="0043068B" w:rsidRPr="00AC4641" w:rsidRDefault="0043068B" w:rsidP="006167BD"/>
        </w:tc>
        <w:tc>
          <w:tcPr>
            <w:tcW w:w="2430" w:type="dxa"/>
          </w:tcPr>
          <w:p w:rsidR="0043068B" w:rsidRPr="00AC4641" w:rsidRDefault="0043068B" w:rsidP="006167BD"/>
        </w:tc>
        <w:tc>
          <w:tcPr>
            <w:tcW w:w="1908" w:type="dxa"/>
          </w:tcPr>
          <w:p w:rsidR="0043068B" w:rsidRPr="00AC4641" w:rsidRDefault="0043068B" w:rsidP="006167BD"/>
        </w:tc>
      </w:tr>
      <w:tr w:rsidR="0043068B" w:rsidRPr="00AC4641" w:rsidTr="006167BD">
        <w:tc>
          <w:tcPr>
            <w:tcW w:w="9576" w:type="dxa"/>
            <w:gridSpan w:val="4"/>
          </w:tcPr>
          <w:p w:rsidR="0043068B" w:rsidRPr="0043068B" w:rsidRDefault="0043068B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43068B" w:rsidRDefault="0043068B" w:rsidP="006167BD"/>
          <w:p w:rsidR="0043068B" w:rsidRPr="00AC4641" w:rsidRDefault="0043068B" w:rsidP="006167BD"/>
        </w:tc>
      </w:tr>
    </w:tbl>
    <w:p w:rsidR="00C2327E" w:rsidRDefault="00C2327E" w:rsidP="00C2327E">
      <w:pPr>
        <w:pStyle w:val="Heading2"/>
      </w:pPr>
      <w:r>
        <w:t xml:space="preserve">Benchmark B: </w:t>
      </w:r>
      <w:r w:rsidR="00463DAC">
        <w:t xml:space="preserve">A </w:t>
      </w:r>
      <w:r>
        <w:t>Comprehensive Accessibility Policy</w:t>
      </w:r>
    </w:p>
    <w:p w:rsidR="00EA36AE" w:rsidRDefault="00C2327E" w:rsidP="0043068B">
      <w:pPr>
        <w:pStyle w:val="Evidence"/>
      </w:pPr>
      <w:r>
        <w:t>Accessibility Policy</w:t>
      </w:r>
      <w:r w:rsidRPr="005A6528">
        <w:t xml:space="preserve"> </w:t>
      </w:r>
      <w:r w:rsidR="00F24A1C">
        <w:t>Checklist</w:t>
      </w:r>
      <w:r w:rsidR="00EA36AE">
        <w:t>*</w:t>
      </w:r>
      <w:r w:rsidRPr="005A6528">
        <w:t>:</w:t>
      </w:r>
      <w:r w:rsidR="00F24A1C">
        <w:t xml:space="preserve">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718"/>
        <w:gridCol w:w="1080"/>
        <w:gridCol w:w="2160"/>
        <w:gridCol w:w="2160"/>
        <w:gridCol w:w="1440"/>
      </w:tblGrid>
      <w:tr w:rsidR="00D374C5" w:rsidRPr="00AC4641" w:rsidTr="00D374C5">
        <w:tc>
          <w:tcPr>
            <w:tcW w:w="9558" w:type="dxa"/>
            <w:gridSpan w:val="5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This benchmark specifically supports requirements or plans by:</w:t>
            </w:r>
          </w:p>
          <w:p w:rsidR="00D374C5" w:rsidRPr="00AC4641" w:rsidRDefault="00D374C5" w:rsidP="006167BD">
            <w:pPr>
              <w:jc w:val="center"/>
              <w:rPr>
                <w:b/>
                <w:sz w:val="28"/>
              </w:rPr>
            </w:pPr>
          </w:p>
        </w:tc>
      </w:tr>
      <w:tr w:rsidR="00D374C5" w:rsidRPr="00AC4641" w:rsidTr="00D374C5">
        <w:tc>
          <w:tcPr>
            <w:tcW w:w="2718" w:type="dxa"/>
            <w:vAlign w:val="center"/>
          </w:tcPr>
          <w:p w:rsidR="00D374C5" w:rsidRPr="009C6017" w:rsidRDefault="00D374C5" w:rsidP="00D374C5">
            <w:pPr>
              <w:jc w:val="center"/>
              <w:rPr>
                <w:b/>
                <w:sz w:val="28"/>
              </w:rPr>
            </w:pPr>
            <w:r w:rsidRPr="009C6017">
              <w:rPr>
                <w:b/>
                <w:sz w:val="28"/>
              </w:rPr>
              <w:t>Policy Element</w:t>
            </w:r>
          </w:p>
        </w:tc>
        <w:tc>
          <w:tcPr>
            <w:tcW w:w="1080" w:type="dxa"/>
            <w:vAlign w:val="center"/>
          </w:tcPr>
          <w:p w:rsidR="00D374C5" w:rsidRPr="009C6017" w:rsidRDefault="00D374C5" w:rsidP="00D374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Yes/No</w:t>
            </w:r>
          </w:p>
        </w:tc>
        <w:tc>
          <w:tcPr>
            <w:tcW w:w="2160" w:type="dxa"/>
            <w:vAlign w:val="center"/>
          </w:tcPr>
          <w:p w:rsidR="00D374C5" w:rsidRPr="009C6017" w:rsidRDefault="00D374C5" w:rsidP="00D374C5">
            <w:pPr>
              <w:jc w:val="center"/>
              <w:rPr>
                <w:b/>
                <w:sz w:val="28"/>
              </w:rPr>
            </w:pPr>
            <w:r w:rsidRPr="009C6017">
              <w:rPr>
                <w:b/>
                <w:sz w:val="28"/>
              </w:rPr>
              <w:t xml:space="preserve">Key </w:t>
            </w:r>
            <w:r>
              <w:rPr>
                <w:b/>
                <w:sz w:val="28"/>
              </w:rPr>
              <w:t>Points</w:t>
            </w:r>
          </w:p>
        </w:tc>
        <w:tc>
          <w:tcPr>
            <w:tcW w:w="2160" w:type="dxa"/>
            <w:vAlign w:val="center"/>
          </w:tcPr>
          <w:p w:rsidR="00D374C5" w:rsidRPr="009C6017" w:rsidRDefault="00D374C5" w:rsidP="00D374C5">
            <w:pPr>
              <w:jc w:val="center"/>
              <w:rPr>
                <w:b/>
                <w:sz w:val="28"/>
              </w:rPr>
            </w:pPr>
            <w:r w:rsidRPr="00D374C5">
              <w:rPr>
                <w:b/>
                <w:sz w:val="28"/>
              </w:rPr>
              <w:t>Supporting Documentation</w:t>
            </w:r>
          </w:p>
        </w:tc>
        <w:tc>
          <w:tcPr>
            <w:tcW w:w="1440" w:type="dxa"/>
            <w:vAlign w:val="center"/>
          </w:tcPr>
          <w:p w:rsidR="00D374C5" w:rsidRPr="009C6017" w:rsidRDefault="00D374C5" w:rsidP="00D374C5">
            <w:pPr>
              <w:jc w:val="center"/>
              <w:rPr>
                <w:b/>
                <w:sz w:val="28"/>
              </w:rPr>
            </w:pPr>
            <w:r w:rsidRPr="009C6017">
              <w:rPr>
                <w:b/>
                <w:sz w:val="28"/>
              </w:rPr>
              <w:t>Additional Notes</w:t>
            </w:r>
          </w:p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 xml:space="preserve">A summary statement of the policy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 xml:space="preserve">Effective date(s)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 xml:space="preserve">The scope of the policy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>A technical standard for Web Accessibility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 xml:space="preserve">A provision for procurement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 xml:space="preserve">Consequences for non-conformance to the policy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5E2952" w:rsidRDefault="00D374C5" w:rsidP="005E295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0"/>
                <w:szCs w:val="20"/>
              </w:rPr>
            </w:pPr>
            <w:r w:rsidRPr="005E2952">
              <w:rPr>
                <w:rFonts w:eastAsia="Times New Roman" w:cstheme="minorHAnsi"/>
                <w:bCs/>
                <w:sz w:val="20"/>
                <w:szCs w:val="20"/>
              </w:rPr>
              <w:t xml:space="preserve">Mechanisms for ongoing review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AC4641" w:rsidRDefault="00D374C5" w:rsidP="006167BD"/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AC4641" w:rsidRDefault="00D374C5" w:rsidP="006167BD"/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2718" w:type="dxa"/>
          </w:tcPr>
          <w:p w:rsidR="00D374C5" w:rsidRPr="00AC4641" w:rsidRDefault="00D374C5" w:rsidP="006167BD"/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D374C5">
        <w:tc>
          <w:tcPr>
            <w:tcW w:w="9558" w:type="dxa"/>
            <w:gridSpan w:val="5"/>
          </w:tcPr>
          <w:p w:rsidR="00D374C5" w:rsidRPr="0043068B" w:rsidRDefault="00D374C5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</w:t>
            </w:r>
            <w:r>
              <w:rPr>
                <w:b/>
                <w:i/>
              </w:rPr>
              <w:t>work</w:t>
            </w:r>
            <w:r w:rsidRPr="0043068B">
              <w:rPr>
                <w:b/>
                <w:i/>
              </w:rPr>
              <w:t xml:space="preserve"> that is currently </w:t>
            </w:r>
            <w:r>
              <w:rPr>
                <w:b/>
                <w:i/>
              </w:rPr>
              <w:t xml:space="preserve">being done to </w:t>
            </w:r>
            <w:r w:rsidRPr="0043068B">
              <w:rPr>
                <w:b/>
                <w:i/>
              </w:rPr>
              <w:t>develop</w:t>
            </w:r>
            <w:r>
              <w:rPr>
                <w:b/>
                <w:i/>
              </w:rPr>
              <w:t xml:space="preserve"> a Comprehensive Policy</w:t>
            </w:r>
            <w:r w:rsidRPr="0043068B">
              <w:rPr>
                <w:b/>
                <w:i/>
              </w:rPr>
              <w:t xml:space="preserve"> </w:t>
            </w:r>
          </w:p>
          <w:p w:rsidR="00D374C5" w:rsidRDefault="00D374C5" w:rsidP="006167BD"/>
          <w:p w:rsidR="00D374C5" w:rsidRPr="00AC4641" w:rsidRDefault="00D374C5" w:rsidP="006167BD"/>
        </w:tc>
      </w:tr>
    </w:tbl>
    <w:p w:rsidR="00EA36AE" w:rsidRPr="00EA36AE" w:rsidRDefault="00EA36AE" w:rsidP="00EA36AE">
      <w:pPr>
        <w:pStyle w:val="Evidence"/>
        <w:rPr>
          <w:sz w:val="18"/>
        </w:rPr>
      </w:pPr>
      <w:r w:rsidRPr="00EA36AE">
        <w:rPr>
          <w:sz w:val="18"/>
        </w:rPr>
        <w:t>*Put an</w:t>
      </w:r>
      <w:r w:rsidR="00FC5F09">
        <w:rPr>
          <w:sz w:val="18"/>
        </w:rPr>
        <w:t>y</w:t>
      </w:r>
      <w:r w:rsidRPr="00EA36AE">
        <w:rPr>
          <w:sz w:val="18"/>
        </w:rPr>
        <w:t xml:space="preserve"> additional elements of the policy in the spaces provided </w:t>
      </w:r>
    </w:p>
    <w:p w:rsidR="00C2327E" w:rsidRDefault="005E2952" w:rsidP="00EF5337">
      <w:pPr>
        <w:pStyle w:val="Heading2"/>
      </w:pPr>
      <w:r>
        <w:br w:type="page"/>
      </w:r>
      <w:r w:rsidR="00C2327E">
        <w:lastRenderedPageBreak/>
        <w:t xml:space="preserve">Benchmark C: </w:t>
      </w:r>
      <w:r w:rsidR="00463DAC">
        <w:t xml:space="preserve">A </w:t>
      </w:r>
      <w:r w:rsidR="00C2327E">
        <w:t>Comprehensive Written Accessibility Plan</w:t>
      </w:r>
    </w:p>
    <w:p w:rsidR="0043068B" w:rsidRDefault="00C2327E" w:rsidP="0043068B">
      <w:pPr>
        <w:pStyle w:val="Evidence"/>
      </w:pPr>
      <w:r>
        <w:t>Written Accessibility Plan</w:t>
      </w:r>
      <w:r w:rsidRPr="005A6528">
        <w:t xml:space="preserve"> </w:t>
      </w:r>
      <w:r w:rsidR="00EA36AE">
        <w:t>Checklist*</w:t>
      </w:r>
      <w:r w:rsidRPr="005A6528">
        <w:t>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718"/>
        <w:gridCol w:w="1080"/>
        <w:gridCol w:w="2160"/>
        <w:gridCol w:w="2160"/>
        <w:gridCol w:w="1440"/>
      </w:tblGrid>
      <w:tr w:rsidR="00D374C5" w:rsidRPr="00AC4641" w:rsidTr="006167BD">
        <w:tc>
          <w:tcPr>
            <w:tcW w:w="9558" w:type="dxa"/>
            <w:gridSpan w:val="5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This benchmark specifically supports requirements or plans by:</w:t>
            </w:r>
          </w:p>
          <w:p w:rsidR="00D374C5" w:rsidRPr="00AC4641" w:rsidRDefault="00D374C5" w:rsidP="006167BD">
            <w:pPr>
              <w:jc w:val="center"/>
              <w:rPr>
                <w:b/>
                <w:sz w:val="28"/>
              </w:rPr>
            </w:pPr>
          </w:p>
        </w:tc>
      </w:tr>
      <w:tr w:rsidR="00D374C5" w:rsidRPr="00AC4641" w:rsidTr="006167BD">
        <w:tc>
          <w:tcPr>
            <w:tcW w:w="2718" w:type="dxa"/>
            <w:vAlign w:val="center"/>
          </w:tcPr>
          <w:p w:rsidR="00D374C5" w:rsidRPr="009C6017" w:rsidRDefault="00D374C5" w:rsidP="006167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 w:rsidRPr="009C6017">
              <w:rPr>
                <w:b/>
                <w:sz w:val="28"/>
              </w:rPr>
              <w:t xml:space="preserve"> Element</w:t>
            </w:r>
          </w:p>
        </w:tc>
        <w:tc>
          <w:tcPr>
            <w:tcW w:w="1080" w:type="dxa"/>
            <w:vAlign w:val="center"/>
          </w:tcPr>
          <w:p w:rsidR="00D374C5" w:rsidRPr="009C6017" w:rsidRDefault="00D374C5" w:rsidP="006167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Yes/No</w:t>
            </w:r>
          </w:p>
        </w:tc>
        <w:tc>
          <w:tcPr>
            <w:tcW w:w="2160" w:type="dxa"/>
            <w:vAlign w:val="center"/>
          </w:tcPr>
          <w:p w:rsidR="00D374C5" w:rsidRPr="009C6017" w:rsidRDefault="00D374C5" w:rsidP="006167BD">
            <w:pPr>
              <w:jc w:val="center"/>
              <w:rPr>
                <w:b/>
                <w:sz w:val="28"/>
              </w:rPr>
            </w:pPr>
            <w:r w:rsidRPr="009C6017">
              <w:rPr>
                <w:b/>
                <w:sz w:val="28"/>
              </w:rPr>
              <w:t xml:space="preserve">Key </w:t>
            </w:r>
            <w:r>
              <w:rPr>
                <w:b/>
                <w:sz w:val="28"/>
              </w:rPr>
              <w:t>Points</w:t>
            </w:r>
          </w:p>
        </w:tc>
        <w:tc>
          <w:tcPr>
            <w:tcW w:w="2160" w:type="dxa"/>
            <w:vAlign w:val="center"/>
          </w:tcPr>
          <w:p w:rsidR="00D374C5" w:rsidRPr="009C6017" w:rsidRDefault="00D374C5" w:rsidP="006167BD">
            <w:pPr>
              <w:jc w:val="center"/>
              <w:rPr>
                <w:b/>
                <w:sz w:val="28"/>
              </w:rPr>
            </w:pPr>
            <w:r w:rsidRPr="00D374C5">
              <w:rPr>
                <w:b/>
                <w:sz w:val="28"/>
              </w:rPr>
              <w:t>Supporting Documentation</w:t>
            </w:r>
          </w:p>
        </w:tc>
        <w:tc>
          <w:tcPr>
            <w:tcW w:w="1440" w:type="dxa"/>
            <w:vAlign w:val="center"/>
          </w:tcPr>
          <w:p w:rsidR="00D374C5" w:rsidRPr="009C6017" w:rsidRDefault="00D374C5" w:rsidP="006167BD">
            <w:pPr>
              <w:jc w:val="center"/>
              <w:rPr>
                <w:b/>
                <w:sz w:val="28"/>
              </w:rPr>
            </w:pPr>
            <w:r w:rsidRPr="009C6017">
              <w:rPr>
                <w:b/>
                <w:sz w:val="28"/>
              </w:rPr>
              <w:t>Additional Notes</w:t>
            </w:r>
          </w:p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>An executive summary of the plan or statement of concept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 provision for benchmarking and market evaluation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 provision to gather baseline information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Identification of existing institutional challenges and risks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Identification of existing institutional priorities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 process to communicate and market the </w:t>
            </w:r>
            <w:r w:rsidR="0040173A">
              <w:rPr>
                <w:rFonts w:asciiTheme="minorHAnsi" w:hAnsiTheme="minorHAnsi" w:cstheme="minorHAnsi"/>
                <w:b w:val="0"/>
              </w:rPr>
              <w:t xml:space="preserve">accessibility </w:t>
            </w:r>
            <w:r w:rsidRPr="005E2952">
              <w:rPr>
                <w:rFonts w:asciiTheme="minorHAnsi" w:hAnsiTheme="minorHAnsi" w:cstheme="minorHAnsi"/>
                <w:b w:val="0"/>
              </w:rPr>
              <w:t xml:space="preserve">plan to the campus and other communities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 provision for budget items appropriate to accomplish the plan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00397A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Metrics, milestones and measurable steps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A </w:t>
            </w:r>
            <w:r w:rsidR="0040173A">
              <w:rPr>
                <w:rFonts w:asciiTheme="minorHAnsi" w:hAnsiTheme="minorHAnsi" w:cstheme="minorHAnsi"/>
                <w:b w:val="0"/>
              </w:rPr>
              <w:t>c</w:t>
            </w:r>
            <w:r>
              <w:rPr>
                <w:rFonts w:asciiTheme="minorHAnsi" w:hAnsiTheme="minorHAnsi" w:cstheme="minorHAnsi"/>
                <w:b w:val="0"/>
              </w:rPr>
              <w:t xml:space="preserve">omprehensive </w:t>
            </w:r>
            <w:r w:rsidR="0040173A">
              <w:rPr>
                <w:rFonts w:asciiTheme="minorHAnsi" w:hAnsiTheme="minorHAnsi" w:cstheme="minorHAnsi"/>
                <w:b w:val="0"/>
              </w:rPr>
              <w:t>t</w:t>
            </w:r>
            <w:r w:rsidRPr="005E2952">
              <w:rPr>
                <w:rFonts w:asciiTheme="minorHAnsi" w:hAnsiTheme="minorHAnsi" w:cstheme="minorHAnsi"/>
                <w:b w:val="0"/>
              </w:rPr>
              <w:t xml:space="preserve">imeline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Assignment of specific responsibilities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925D9" w:rsidP="00D925D9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An e</w:t>
            </w:r>
            <w:r w:rsidR="00D374C5" w:rsidRPr="005E2952">
              <w:rPr>
                <w:rFonts w:asciiTheme="minorHAnsi" w:hAnsiTheme="minorHAnsi" w:cstheme="minorHAnsi"/>
                <w:b w:val="0"/>
              </w:rPr>
              <w:t xml:space="preserve">ducation plan for staff, faculty and students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 plan to obtain and use feedback institution-wide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 w:rsidRPr="005E2952">
              <w:rPr>
                <w:rFonts w:asciiTheme="minorHAnsi" w:hAnsiTheme="minorHAnsi" w:cstheme="minorHAnsi"/>
                <w:b w:val="0"/>
              </w:rPr>
              <w:t xml:space="preserve">A plan to monitor </w:t>
            </w:r>
            <w:r w:rsidR="00D925D9">
              <w:rPr>
                <w:rFonts w:asciiTheme="minorHAnsi" w:hAnsiTheme="minorHAnsi" w:cstheme="minorHAnsi"/>
                <w:b w:val="0"/>
              </w:rPr>
              <w:t xml:space="preserve">the </w:t>
            </w:r>
            <w:r w:rsidRPr="005E2952">
              <w:rPr>
                <w:rFonts w:asciiTheme="minorHAnsi" w:hAnsiTheme="minorHAnsi" w:cstheme="minorHAnsi"/>
                <w:b w:val="0"/>
              </w:rPr>
              <w:t xml:space="preserve">progress of accessibility outcomes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925D9" w:rsidP="00D925D9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An e</w:t>
            </w:r>
            <w:r w:rsidR="00D374C5" w:rsidRPr="005E2952">
              <w:rPr>
                <w:rFonts w:asciiTheme="minorHAnsi" w:hAnsiTheme="minorHAnsi" w:cstheme="minorHAnsi"/>
                <w:b w:val="0"/>
              </w:rPr>
              <w:t xml:space="preserve">xplicit strategy to evaluate and revise the plan in an ongoing way </w:t>
            </w: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2718" w:type="dxa"/>
          </w:tcPr>
          <w:p w:rsidR="00D374C5" w:rsidRPr="005E2952" w:rsidRDefault="00D374C5" w:rsidP="006167BD">
            <w:pPr>
              <w:pStyle w:val="Heading5"/>
              <w:outlineLvl w:val="4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8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2160" w:type="dxa"/>
          </w:tcPr>
          <w:p w:rsidR="00D374C5" w:rsidRPr="00AC4641" w:rsidRDefault="00D374C5" w:rsidP="006167BD"/>
        </w:tc>
        <w:tc>
          <w:tcPr>
            <w:tcW w:w="1440" w:type="dxa"/>
          </w:tcPr>
          <w:p w:rsidR="00D374C5" w:rsidRPr="00AC4641" w:rsidRDefault="00D374C5" w:rsidP="006167BD"/>
        </w:tc>
      </w:tr>
      <w:tr w:rsidR="00D374C5" w:rsidRPr="00AC4641" w:rsidTr="006167BD">
        <w:tc>
          <w:tcPr>
            <w:tcW w:w="9558" w:type="dxa"/>
            <w:gridSpan w:val="5"/>
          </w:tcPr>
          <w:p w:rsidR="00D374C5" w:rsidRPr="0043068B" w:rsidRDefault="00D374C5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</w:t>
            </w:r>
            <w:r>
              <w:rPr>
                <w:b/>
                <w:i/>
              </w:rPr>
              <w:t>work</w:t>
            </w:r>
            <w:r w:rsidRPr="0043068B">
              <w:rPr>
                <w:b/>
                <w:i/>
              </w:rPr>
              <w:t xml:space="preserve"> that is currently </w:t>
            </w:r>
            <w:r>
              <w:rPr>
                <w:b/>
                <w:i/>
              </w:rPr>
              <w:t xml:space="preserve">being done to </w:t>
            </w:r>
            <w:r w:rsidRPr="0043068B">
              <w:rPr>
                <w:b/>
                <w:i/>
              </w:rPr>
              <w:t>develop</w:t>
            </w:r>
            <w:r>
              <w:rPr>
                <w:b/>
                <w:i/>
              </w:rPr>
              <w:t xml:space="preserve"> a Comprehensive Policy</w:t>
            </w:r>
            <w:r w:rsidRPr="0043068B">
              <w:rPr>
                <w:b/>
                <w:i/>
              </w:rPr>
              <w:t xml:space="preserve"> </w:t>
            </w:r>
          </w:p>
          <w:p w:rsidR="00D374C5" w:rsidRDefault="00D374C5" w:rsidP="006167BD"/>
          <w:p w:rsidR="00D374C5" w:rsidRPr="00AC4641" w:rsidRDefault="00D374C5" w:rsidP="006167BD"/>
        </w:tc>
      </w:tr>
    </w:tbl>
    <w:p w:rsidR="00EA36AE" w:rsidRPr="00EA36AE" w:rsidRDefault="00EA36AE" w:rsidP="00EA36AE">
      <w:pPr>
        <w:pStyle w:val="Evidence"/>
        <w:rPr>
          <w:sz w:val="18"/>
        </w:rPr>
      </w:pPr>
      <w:r w:rsidRPr="00EA36AE">
        <w:rPr>
          <w:sz w:val="18"/>
        </w:rPr>
        <w:t>*Put an</w:t>
      </w:r>
      <w:r w:rsidR="00FC5F09">
        <w:rPr>
          <w:sz w:val="18"/>
        </w:rPr>
        <w:t>y</w:t>
      </w:r>
      <w:r w:rsidRPr="00EA36AE">
        <w:rPr>
          <w:sz w:val="18"/>
        </w:rPr>
        <w:t xml:space="preserve"> additional elements of the </w:t>
      </w:r>
      <w:r w:rsidR="00FC5F09">
        <w:rPr>
          <w:sz w:val="18"/>
        </w:rPr>
        <w:t>plan</w:t>
      </w:r>
      <w:r w:rsidRPr="00EA36AE">
        <w:rPr>
          <w:sz w:val="18"/>
        </w:rPr>
        <w:t xml:space="preserve"> in the spaces provided </w:t>
      </w:r>
    </w:p>
    <w:p w:rsidR="005E4DE6" w:rsidRDefault="005E4DE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br w:type="page"/>
      </w:r>
    </w:p>
    <w:p w:rsidR="00C2327E" w:rsidRDefault="0043068B" w:rsidP="006C1D08">
      <w:pPr>
        <w:pStyle w:val="Heading2"/>
      </w:pPr>
      <w:r>
        <w:lastRenderedPageBreak/>
        <w:t xml:space="preserve"> </w:t>
      </w:r>
      <w:r w:rsidR="00C2327E">
        <w:t>Benchmark D:</w:t>
      </w:r>
      <w:r w:rsidR="00463DAC">
        <w:t xml:space="preserve"> The</w:t>
      </w:r>
      <w:r w:rsidR="00C2327E">
        <w:t xml:space="preserve"> Implementation of the Written Plan</w:t>
      </w:r>
    </w:p>
    <w:p w:rsidR="00C2327E" w:rsidRDefault="00C2327E" w:rsidP="00C2327E">
      <w:pPr>
        <w:pStyle w:val="Evidence"/>
      </w:pPr>
      <w:r w:rsidRPr="005A6528">
        <w:t xml:space="preserve">Evidence of </w:t>
      </w:r>
      <w:r>
        <w:t>the Implementation of the Written Plan</w:t>
      </w:r>
      <w:r w:rsidRPr="005A6528">
        <w:t xml:space="preserve"> </w:t>
      </w:r>
      <w:r>
        <w:t>can</w:t>
      </w:r>
      <w:r w:rsidRPr="005A6528">
        <w:t xml:space="preserve"> include:</w:t>
      </w:r>
    </w:p>
    <w:p w:rsidR="00FB139C" w:rsidRDefault="00FB139C" w:rsidP="00FB139C">
      <w:pPr>
        <w:pStyle w:val="NoSpacing"/>
        <w:numPr>
          <w:ilvl w:val="0"/>
          <w:numId w:val="3"/>
        </w:numPr>
        <w:sectPr w:rsidR="00FB139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B139C" w:rsidRPr="00B2096C" w:rsidRDefault="00FB139C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 xml:space="preserve">Meeting minutes of the accessibility team/task force </w:t>
      </w:r>
    </w:p>
    <w:p w:rsidR="00FB139C" w:rsidRPr="00B2096C" w:rsidRDefault="00B631FF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>B</w:t>
      </w:r>
      <w:r w:rsidR="00FB139C" w:rsidRPr="00B2096C">
        <w:rPr>
          <w:sz w:val="20"/>
        </w:rPr>
        <w:t>aseline information</w:t>
      </w:r>
      <w:r w:rsidRPr="00B2096C">
        <w:rPr>
          <w:sz w:val="20"/>
        </w:rPr>
        <w:t xml:space="preserve"> on the </w:t>
      </w:r>
      <w:r w:rsidR="0000397A">
        <w:rPr>
          <w:sz w:val="20"/>
        </w:rPr>
        <w:t>I</w:t>
      </w:r>
      <w:r w:rsidRPr="00B2096C">
        <w:rPr>
          <w:sz w:val="20"/>
        </w:rPr>
        <w:t>nstitution’s web accessibility</w:t>
      </w:r>
    </w:p>
    <w:p w:rsidR="00FB139C" w:rsidRPr="00B2096C" w:rsidRDefault="00B631FF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An </w:t>
      </w:r>
      <w:r w:rsidR="00FB139C" w:rsidRPr="00B2096C">
        <w:rPr>
          <w:sz w:val="20"/>
        </w:rPr>
        <w:t>Institution-wide budget</w:t>
      </w:r>
      <w:r w:rsidRPr="00B2096C">
        <w:rPr>
          <w:sz w:val="20"/>
        </w:rPr>
        <w:t xml:space="preserve"> </w:t>
      </w:r>
      <w:r w:rsidR="00FB139C" w:rsidRPr="00B2096C">
        <w:rPr>
          <w:sz w:val="20"/>
        </w:rPr>
        <w:t>committed to sustain</w:t>
      </w:r>
      <w:r w:rsidRPr="00B2096C">
        <w:rPr>
          <w:sz w:val="20"/>
        </w:rPr>
        <w:t>ing</w:t>
      </w:r>
      <w:r w:rsidR="00FB139C" w:rsidRPr="00B2096C">
        <w:rPr>
          <w:sz w:val="20"/>
        </w:rPr>
        <w:t xml:space="preserve"> web accessibility </w:t>
      </w:r>
    </w:p>
    <w:p w:rsidR="00FB139C" w:rsidRPr="00B2096C" w:rsidRDefault="00FB139C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>Campus communication</w:t>
      </w:r>
      <w:r w:rsidR="00B631FF" w:rsidRPr="00B2096C">
        <w:rPr>
          <w:sz w:val="20"/>
        </w:rPr>
        <w:t>s</w:t>
      </w:r>
      <w:r w:rsidRPr="00B2096C">
        <w:rPr>
          <w:sz w:val="20"/>
        </w:rPr>
        <w:t xml:space="preserve"> and marketing of the accessibility plan. </w:t>
      </w:r>
    </w:p>
    <w:p w:rsidR="00FB139C" w:rsidRPr="00B2096C" w:rsidRDefault="00FB139C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Data on training personnel </w:t>
      </w:r>
    </w:p>
    <w:p w:rsidR="00FB139C" w:rsidRPr="00B2096C" w:rsidRDefault="00B631FF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>Tracking</w:t>
      </w:r>
      <w:r w:rsidR="00464E82">
        <w:rPr>
          <w:sz w:val="20"/>
        </w:rPr>
        <w:t xml:space="preserve"> </w:t>
      </w:r>
      <w:r w:rsidRPr="00B2096C">
        <w:rPr>
          <w:sz w:val="20"/>
        </w:rPr>
        <w:t>and d</w:t>
      </w:r>
      <w:r w:rsidR="00FB139C" w:rsidRPr="00B2096C">
        <w:rPr>
          <w:sz w:val="20"/>
        </w:rPr>
        <w:t xml:space="preserve">ocumentation of implementation progress </w:t>
      </w:r>
    </w:p>
    <w:p w:rsidR="00FB139C" w:rsidRPr="00B2096C" w:rsidRDefault="00B631FF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>Data and f</w:t>
      </w:r>
      <w:r w:rsidR="00FB139C" w:rsidRPr="00B2096C">
        <w:rPr>
          <w:sz w:val="20"/>
        </w:rPr>
        <w:t xml:space="preserve">eedback from </w:t>
      </w:r>
      <w:r w:rsidRPr="00B2096C">
        <w:rPr>
          <w:sz w:val="20"/>
        </w:rPr>
        <w:t>end users and those involved in</w:t>
      </w:r>
      <w:r w:rsidR="00FB139C" w:rsidRPr="00B2096C">
        <w:rPr>
          <w:sz w:val="20"/>
        </w:rPr>
        <w:t xml:space="preserve"> implementation</w:t>
      </w:r>
      <w:r w:rsidRPr="00B2096C">
        <w:rPr>
          <w:sz w:val="20"/>
        </w:rPr>
        <w:t xml:space="preserve"> of the plan</w:t>
      </w:r>
      <w:r w:rsidR="00FB139C" w:rsidRPr="00B2096C">
        <w:rPr>
          <w:sz w:val="20"/>
        </w:rPr>
        <w:t xml:space="preserve"> </w:t>
      </w:r>
    </w:p>
    <w:p w:rsidR="00FB139C" w:rsidRPr="00B2096C" w:rsidRDefault="00FB139C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Indications of actions taken for nonconforming web content </w:t>
      </w:r>
    </w:p>
    <w:p w:rsidR="00FB139C" w:rsidRPr="00B2096C" w:rsidRDefault="00FB139C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  <w:sectPr w:rsidR="00FB139C" w:rsidRPr="00B2096C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  <w:r w:rsidRPr="00B2096C">
        <w:rPr>
          <w:sz w:val="20"/>
        </w:rPr>
        <w:t>Web accessibility outcome data</w:t>
      </w:r>
    </w:p>
    <w:p w:rsidR="00FB139C" w:rsidRDefault="00FB139C" w:rsidP="00FB139C">
      <w:pPr>
        <w:pStyle w:val="NoSpacing"/>
      </w:pPr>
    </w:p>
    <w:p w:rsidR="00FB139C" w:rsidRPr="00FB139C" w:rsidRDefault="00FB139C" w:rsidP="00FB139C">
      <w:pPr>
        <w:pStyle w:val="NoSpacing"/>
        <w:sectPr w:rsidR="00FB139C" w:rsidRPr="00FB139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F42A7A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F42A7A" w:rsidRPr="00AC4641" w:rsidRDefault="00F42A7A" w:rsidP="006167BD">
            <w:pPr>
              <w:jc w:val="center"/>
              <w:rPr>
                <w:b/>
                <w:sz w:val="28"/>
              </w:rPr>
            </w:pPr>
          </w:p>
        </w:tc>
      </w:tr>
      <w:tr w:rsidR="00F42A7A" w:rsidRPr="00AC4641" w:rsidTr="006167BD">
        <w:tc>
          <w:tcPr>
            <w:tcW w:w="1908" w:type="dxa"/>
            <w:vAlign w:val="center"/>
          </w:tcPr>
          <w:p w:rsidR="00F42A7A" w:rsidRPr="00AC4641" w:rsidRDefault="00F42A7A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F42A7A" w:rsidRPr="00AC4641" w:rsidRDefault="00F42A7A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F42A7A" w:rsidRPr="00AC4641" w:rsidRDefault="00F42A7A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F42A7A" w:rsidRPr="00AC4641" w:rsidRDefault="00F42A7A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F42A7A" w:rsidRPr="00AC4641" w:rsidTr="006167BD">
        <w:tc>
          <w:tcPr>
            <w:tcW w:w="1908" w:type="dxa"/>
          </w:tcPr>
          <w:p w:rsidR="00F42A7A" w:rsidRPr="00AC4641" w:rsidRDefault="00F42A7A" w:rsidP="006167BD"/>
        </w:tc>
        <w:tc>
          <w:tcPr>
            <w:tcW w:w="3330" w:type="dxa"/>
          </w:tcPr>
          <w:p w:rsidR="00F42A7A" w:rsidRPr="00AC4641" w:rsidRDefault="00F42A7A" w:rsidP="006167BD"/>
        </w:tc>
        <w:tc>
          <w:tcPr>
            <w:tcW w:w="2430" w:type="dxa"/>
          </w:tcPr>
          <w:p w:rsidR="00F42A7A" w:rsidRPr="00AC4641" w:rsidRDefault="00F42A7A" w:rsidP="006167BD"/>
        </w:tc>
        <w:tc>
          <w:tcPr>
            <w:tcW w:w="1908" w:type="dxa"/>
          </w:tcPr>
          <w:p w:rsidR="00F42A7A" w:rsidRPr="00AC4641" w:rsidRDefault="00F42A7A" w:rsidP="006167BD"/>
        </w:tc>
      </w:tr>
      <w:tr w:rsidR="00F42A7A" w:rsidRPr="00AC4641" w:rsidTr="006167BD">
        <w:tc>
          <w:tcPr>
            <w:tcW w:w="1908" w:type="dxa"/>
          </w:tcPr>
          <w:p w:rsidR="00F42A7A" w:rsidRPr="00AC4641" w:rsidRDefault="00F42A7A" w:rsidP="006167BD"/>
        </w:tc>
        <w:tc>
          <w:tcPr>
            <w:tcW w:w="3330" w:type="dxa"/>
          </w:tcPr>
          <w:p w:rsidR="00F42A7A" w:rsidRPr="00AC4641" w:rsidRDefault="00F42A7A" w:rsidP="006167BD"/>
        </w:tc>
        <w:tc>
          <w:tcPr>
            <w:tcW w:w="2430" w:type="dxa"/>
          </w:tcPr>
          <w:p w:rsidR="00F42A7A" w:rsidRPr="00AC4641" w:rsidRDefault="00F42A7A" w:rsidP="006167BD"/>
        </w:tc>
        <w:tc>
          <w:tcPr>
            <w:tcW w:w="1908" w:type="dxa"/>
          </w:tcPr>
          <w:p w:rsidR="00F42A7A" w:rsidRPr="00AC4641" w:rsidRDefault="00F42A7A" w:rsidP="006167BD"/>
        </w:tc>
      </w:tr>
      <w:tr w:rsidR="00F42A7A" w:rsidRPr="00AC4641" w:rsidTr="006167BD">
        <w:tc>
          <w:tcPr>
            <w:tcW w:w="1908" w:type="dxa"/>
          </w:tcPr>
          <w:p w:rsidR="00F42A7A" w:rsidRPr="00AC4641" w:rsidRDefault="00F42A7A" w:rsidP="006167BD"/>
        </w:tc>
        <w:tc>
          <w:tcPr>
            <w:tcW w:w="3330" w:type="dxa"/>
          </w:tcPr>
          <w:p w:rsidR="00F42A7A" w:rsidRPr="00AC4641" w:rsidRDefault="00F42A7A" w:rsidP="006167BD"/>
        </w:tc>
        <w:tc>
          <w:tcPr>
            <w:tcW w:w="2430" w:type="dxa"/>
          </w:tcPr>
          <w:p w:rsidR="00F42A7A" w:rsidRPr="00AC4641" w:rsidRDefault="00F42A7A" w:rsidP="006167BD"/>
        </w:tc>
        <w:tc>
          <w:tcPr>
            <w:tcW w:w="1908" w:type="dxa"/>
          </w:tcPr>
          <w:p w:rsidR="00F42A7A" w:rsidRPr="00AC4641" w:rsidRDefault="00F42A7A" w:rsidP="006167BD"/>
        </w:tc>
      </w:tr>
      <w:tr w:rsidR="00F42A7A" w:rsidRPr="00AC4641" w:rsidTr="006167BD">
        <w:tc>
          <w:tcPr>
            <w:tcW w:w="1908" w:type="dxa"/>
          </w:tcPr>
          <w:p w:rsidR="00F42A7A" w:rsidRPr="00AC4641" w:rsidRDefault="00F42A7A" w:rsidP="006167BD"/>
        </w:tc>
        <w:tc>
          <w:tcPr>
            <w:tcW w:w="3330" w:type="dxa"/>
          </w:tcPr>
          <w:p w:rsidR="00F42A7A" w:rsidRPr="00AC4641" w:rsidRDefault="00F42A7A" w:rsidP="006167BD"/>
        </w:tc>
        <w:tc>
          <w:tcPr>
            <w:tcW w:w="2430" w:type="dxa"/>
          </w:tcPr>
          <w:p w:rsidR="00F42A7A" w:rsidRPr="00AC4641" w:rsidRDefault="00F42A7A" w:rsidP="006167BD"/>
        </w:tc>
        <w:tc>
          <w:tcPr>
            <w:tcW w:w="1908" w:type="dxa"/>
          </w:tcPr>
          <w:p w:rsidR="00F42A7A" w:rsidRPr="00AC4641" w:rsidRDefault="00F42A7A" w:rsidP="006167BD"/>
        </w:tc>
      </w:tr>
      <w:tr w:rsidR="00F42A7A" w:rsidRPr="00AC4641" w:rsidTr="006167BD">
        <w:tc>
          <w:tcPr>
            <w:tcW w:w="9576" w:type="dxa"/>
            <w:gridSpan w:val="4"/>
          </w:tcPr>
          <w:p w:rsidR="00F42A7A" w:rsidRPr="0043068B" w:rsidRDefault="00F42A7A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F42A7A" w:rsidRDefault="00F42A7A" w:rsidP="006167BD"/>
          <w:p w:rsidR="00F42A7A" w:rsidRPr="00AC4641" w:rsidRDefault="00F42A7A" w:rsidP="006167BD"/>
        </w:tc>
      </w:tr>
    </w:tbl>
    <w:p w:rsidR="004539F1" w:rsidRDefault="004539F1" w:rsidP="004539F1">
      <w:pPr>
        <w:pStyle w:val="Heading1"/>
      </w:pPr>
      <w:r>
        <w:t xml:space="preserve">Indicator #3: Resources and Support </w:t>
      </w:r>
    </w:p>
    <w:p w:rsidR="004539F1" w:rsidRDefault="004539F1" w:rsidP="004539F1">
      <w:pPr>
        <w:pStyle w:val="Heading2"/>
      </w:pPr>
      <w:r>
        <w:t xml:space="preserve">Benchmark A: </w:t>
      </w:r>
      <w:r w:rsidR="00463DAC">
        <w:t xml:space="preserve">A </w:t>
      </w:r>
      <w:r>
        <w:t xml:space="preserve">Focus on Personnel </w:t>
      </w:r>
    </w:p>
    <w:p w:rsidR="004539F1" w:rsidRDefault="004539F1" w:rsidP="004539F1">
      <w:pPr>
        <w:pStyle w:val="ListParagraph"/>
        <w:numPr>
          <w:ilvl w:val="0"/>
          <w:numId w:val="4"/>
        </w:numPr>
        <w:sectPr w:rsidR="004539F1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C21BA" w:rsidRDefault="00464E8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lastRenderedPageBreak/>
        <w:t>The p</w:t>
      </w:r>
      <w:r w:rsidR="004539F1" w:rsidRPr="00B2096C">
        <w:rPr>
          <w:sz w:val="20"/>
        </w:rPr>
        <w:t>resence of incentives and motivators for</w:t>
      </w:r>
      <w:r w:rsidR="003A04B4">
        <w:rPr>
          <w:sz w:val="20"/>
        </w:rPr>
        <w:t xml:space="preserve">  </w:t>
      </w:r>
      <w:r w:rsidR="004539F1" w:rsidRPr="00B2096C">
        <w:rPr>
          <w:sz w:val="20"/>
        </w:rPr>
        <w:t xml:space="preserve"> participation in accessibility efforts</w:t>
      </w:r>
    </w:p>
    <w:p w:rsidR="004539F1" w:rsidRPr="00B2096C" w:rsidRDefault="004539F1" w:rsidP="00223FB7">
      <w:pPr>
        <w:pStyle w:val="ListParagraph"/>
        <w:spacing w:after="0" w:line="240" w:lineRule="auto"/>
        <w:ind w:left="288"/>
        <w:contextualSpacing w:val="0"/>
        <w:rPr>
          <w:sz w:val="20"/>
        </w:rPr>
      </w:pPr>
      <w:r w:rsidRPr="00B2096C">
        <w:rPr>
          <w:sz w:val="20"/>
        </w:rPr>
        <w:t xml:space="preserve"> </w:t>
      </w: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>Data on retention rates for personnel key to accessibility implementation</w:t>
      </w:r>
    </w:p>
    <w:p w:rsidR="004539F1" w:rsidRDefault="004539F1" w:rsidP="001A637D">
      <w:pPr>
        <w:sectPr w:rsidR="004539F1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4539F1" w:rsidRDefault="004539F1" w:rsidP="001A637D"/>
    <w:p w:rsidR="00ED2ADF" w:rsidRDefault="00ED2AD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br w:type="page"/>
      </w:r>
    </w:p>
    <w:p w:rsidR="004539F1" w:rsidRDefault="004539F1" w:rsidP="004539F1">
      <w:pPr>
        <w:pStyle w:val="Heading2"/>
      </w:pPr>
      <w:r>
        <w:lastRenderedPageBreak/>
        <w:t xml:space="preserve">Benchmark B: Sufficient Time and Effort Allocated to Personnel </w:t>
      </w:r>
    </w:p>
    <w:p w:rsidR="00B2096C" w:rsidRDefault="00B2096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64E82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464E82">
        <w:rPr>
          <w:sz w:val="20"/>
        </w:rPr>
        <w:lastRenderedPageBreak/>
        <w:t>Accessibility work</w:t>
      </w:r>
      <w:r w:rsidR="00464E82" w:rsidRPr="00464E82">
        <w:rPr>
          <w:sz w:val="20"/>
        </w:rPr>
        <w:t xml:space="preserve"> that </w:t>
      </w:r>
      <w:r w:rsidRPr="00464E82">
        <w:rPr>
          <w:sz w:val="20"/>
        </w:rPr>
        <w:t xml:space="preserve">is recognized in job descriptions </w:t>
      </w:r>
      <w:r w:rsidR="00464E82" w:rsidRPr="00464E82">
        <w:rPr>
          <w:sz w:val="20"/>
        </w:rPr>
        <w:t xml:space="preserve">and </w:t>
      </w:r>
      <w:r w:rsidRPr="00464E82">
        <w:rPr>
          <w:sz w:val="20"/>
        </w:rPr>
        <w:t xml:space="preserve"> role statements </w:t>
      </w:r>
    </w:p>
    <w:p w:rsidR="004539F1" w:rsidRPr="00464E82" w:rsidRDefault="00464E82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t>P</w:t>
      </w:r>
      <w:r w:rsidR="004539F1" w:rsidRPr="00464E82">
        <w:rPr>
          <w:sz w:val="20"/>
        </w:rPr>
        <w:t>ersonnel time and effort</w:t>
      </w:r>
      <w:r>
        <w:rPr>
          <w:sz w:val="20"/>
        </w:rPr>
        <w:t xml:space="preserve"> reports that recognize accessibility work</w:t>
      </w:r>
    </w:p>
    <w:p w:rsidR="004539F1" w:rsidRDefault="00AB116F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lastRenderedPageBreak/>
        <w:t>The collection and use of f</w:t>
      </w:r>
      <w:r w:rsidR="004539F1" w:rsidRPr="00B2096C">
        <w:rPr>
          <w:sz w:val="20"/>
        </w:rPr>
        <w:t xml:space="preserve">eedback </w:t>
      </w:r>
      <w:r w:rsidR="00464E82">
        <w:rPr>
          <w:sz w:val="20"/>
        </w:rPr>
        <w:t xml:space="preserve">and data </w:t>
      </w:r>
      <w:r w:rsidR="004539F1" w:rsidRPr="00B2096C">
        <w:rPr>
          <w:sz w:val="20"/>
        </w:rPr>
        <w:t xml:space="preserve">on </w:t>
      </w:r>
      <w:r w:rsidR="00464E82">
        <w:rPr>
          <w:sz w:val="20"/>
        </w:rPr>
        <w:t xml:space="preserve">the </w:t>
      </w:r>
      <w:r w:rsidR="004539F1" w:rsidRPr="00B2096C">
        <w:rPr>
          <w:sz w:val="20"/>
        </w:rPr>
        <w:t>sufficiency of personnel allocation</w:t>
      </w:r>
    </w:p>
    <w:p w:rsidR="002E719F" w:rsidRPr="002E719F" w:rsidRDefault="002E719F" w:rsidP="002E719F">
      <w:pPr>
        <w:spacing w:after="60" w:line="240" w:lineRule="auto"/>
        <w:rPr>
          <w:sz w:val="20"/>
        </w:rPr>
      </w:pPr>
    </w:p>
    <w:p w:rsidR="00B2096C" w:rsidRDefault="00B2096C" w:rsidP="001A637D">
      <w:p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4539F1" w:rsidRDefault="004539F1" w:rsidP="004539F1">
      <w:pPr>
        <w:pStyle w:val="Heading2"/>
      </w:pPr>
      <w:r>
        <w:t xml:space="preserve">Benchmark C: </w:t>
      </w:r>
      <w:r w:rsidR="001118A0">
        <w:t xml:space="preserve">A </w:t>
      </w:r>
      <w:r>
        <w:t>Budget Sufficient for Institution-Wide Efforts</w:t>
      </w:r>
    </w:p>
    <w:p w:rsidR="00463DAC" w:rsidRDefault="00463DA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463DA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539F1" w:rsidRDefault="004539F1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</w:pPr>
      <w:r w:rsidRPr="00B2096C">
        <w:rPr>
          <w:sz w:val="20"/>
        </w:rPr>
        <w:lastRenderedPageBreak/>
        <w:t xml:space="preserve">Feedback </w:t>
      </w:r>
      <w:r w:rsidR="00463DAC">
        <w:rPr>
          <w:sz w:val="20"/>
        </w:rPr>
        <w:t xml:space="preserve">and data </w:t>
      </w:r>
      <w:r w:rsidRPr="00B2096C">
        <w:rPr>
          <w:sz w:val="20"/>
        </w:rPr>
        <w:t>on</w:t>
      </w:r>
      <w:r w:rsidR="00464E82">
        <w:rPr>
          <w:sz w:val="20"/>
        </w:rPr>
        <w:t xml:space="preserve"> the</w:t>
      </w:r>
      <w:r w:rsidRPr="00B2096C">
        <w:rPr>
          <w:sz w:val="20"/>
        </w:rPr>
        <w:t xml:space="preserve"> sufficiency of budget allocation</w:t>
      </w:r>
    </w:p>
    <w:p w:rsidR="00463DAC" w:rsidRDefault="00463DA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</w:pPr>
      <w:r>
        <w:rPr>
          <w:sz w:val="20"/>
        </w:rPr>
        <w:lastRenderedPageBreak/>
        <w:t>Budget allocations and spending that is in line with the accessibility plan</w:t>
      </w:r>
    </w:p>
    <w:p w:rsidR="00463DAC" w:rsidRDefault="00463DAC" w:rsidP="003E46CF">
      <w:pPr>
        <w:pStyle w:val="ListParagraph"/>
        <w:spacing w:after="0" w:line="240" w:lineRule="auto"/>
        <w:ind w:left="144"/>
        <w:rPr>
          <w:sz w:val="20"/>
        </w:rPr>
        <w:sectPr w:rsidR="00463DAC" w:rsidSect="00463DAC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p w:rsidR="003E46CF" w:rsidRDefault="003E46CF" w:rsidP="003E46CF">
      <w:pPr>
        <w:pStyle w:val="ListParagraph"/>
        <w:spacing w:after="0" w:line="240" w:lineRule="auto"/>
        <w:ind w:left="144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0A2377" w:rsidRDefault="000A2377" w:rsidP="004539F1">
      <w:pPr>
        <w:pStyle w:val="Heading2"/>
      </w:pPr>
    </w:p>
    <w:p w:rsidR="000A2377" w:rsidRDefault="000A2377" w:rsidP="000A2377">
      <w:pPr>
        <w:rPr>
          <w:rFonts w:asciiTheme="majorHAnsi" w:eastAsiaTheme="majorEastAsia" w:hAnsiTheme="majorHAnsi" w:cstheme="majorBidi"/>
          <w:color w:val="4F81BD" w:themeColor="accent1"/>
          <w:sz w:val="24"/>
          <w:szCs w:val="26"/>
        </w:rPr>
      </w:pPr>
      <w:r>
        <w:br w:type="page"/>
      </w:r>
    </w:p>
    <w:p w:rsidR="004539F1" w:rsidRDefault="004539F1" w:rsidP="004539F1">
      <w:pPr>
        <w:pStyle w:val="Heading2"/>
      </w:pPr>
      <w:r>
        <w:lastRenderedPageBreak/>
        <w:t xml:space="preserve">Benchmark D: Training and Technical Support </w:t>
      </w:r>
    </w:p>
    <w:p w:rsidR="00B2096C" w:rsidRDefault="00B2096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2096C" w:rsidRDefault="000A2377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lastRenderedPageBreak/>
        <w:t xml:space="preserve">The </w:t>
      </w:r>
      <w:r w:rsidR="004539F1" w:rsidRPr="00B2096C">
        <w:rPr>
          <w:sz w:val="20"/>
        </w:rPr>
        <w:t xml:space="preserve">training of faculty, staff and students </w:t>
      </w:r>
      <w:r w:rsidR="00974EF3">
        <w:rPr>
          <w:sz w:val="20"/>
        </w:rPr>
        <w:t xml:space="preserve">on accessibility practices </w:t>
      </w:r>
      <w:r w:rsidR="004539F1" w:rsidRPr="00B2096C">
        <w:rPr>
          <w:sz w:val="20"/>
        </w:rPr>
        <w:t xml:space="preserve">occurs in conjunction with </w:t>
      </w:r>
      <w:r>
        <w:rPr>
          <w:sz w:val="20"/>
        </w:rPr>
        <w:t xml:space="preserve">their </w:t>
      </w:r>
      <w:r w:rsidR="004539F1" w:rsidRPr="00B2096C">
        <w:rPr>
          <w:sz w:val="20"/>
        </w:rPr>
        <w:t xml:space="preserve">expected accessibility roles </w:t>
      </w:r>
    </w:p>
    <w:p w:rsidR="004539F1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>Technical assistance and support</w:t>
      </w:r>
      <w:r w:rsidR="000A2377">
        <w:rPr>
          <w:sz w:val="20"/>
        </w:rPr>
        <w:t xml:space="preserve"> that </w:t>
      </w:r>
      <w:r w:rsidRPr="00B2096C">
        <w:rPr>
          <w:sz w:val="20"/>
        </w:rPr>
        <w:t xml:space="preserve">is available to, and used by, faculty, staff and students </w:t>
      </w:r>
    </w:p>
    <w:p w:rsidR="004539F1" w:rsidRDefault="000A2377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>
        <w:rPr>
          <w:sz w:val="20"/>
        </w:rPr>
        <w:lastRenderedPageBreak/>
        <w:t>The p</w:t>
      </w:r>
      <w:r w:rsidR="004539F1" w:rsidRPr="00B2096C">
        <w:rPr>
          <w:sz w:val="20"/>
        </w:rPr>
        <w:t xml:space="preserve">resence of </w:t>
      </w:r>
      <w:r>
        <w:rPr>
          <w:sz w:val="20"/>
        </w:rPr>
        <w:t xml:space="preserve">the </w:t>
      </w:r>
      <w:r w:rsidR="004539F1" w:rsidRPr="00B2096C">
        <w:rPr>
          <w:sz w:val="20"/>
        </w:rPr>
        <w:t>materials necessary to support training, technical assistance and implementation</w:t>
      </w:r>
    </w:p>
    <w:p w:rsidR="000A2377" w:rsidRDefault="000A2377" w:rsidP="000A2377">
      <w:pPr>
        <w:spacing w:after="0" w:line="240" w:lineRule="auto"/>
        <w:rPr>
          <w:sz w:val="20"/>
        </w:rPr>
      </w:pPr>
    </w:p>
    <w:p w:rsidR="00EF5337" w:rsidRDefault="00EF5337" w:rsidP="000A2377">
      <w:pPr>
        <w:spacing w:after="0" w:line="240" w:lineRule="auto"/>
        <w:rPr>
          <w:sz w:val="20"/>
        </w:rPr>
      </w:pPr>
    </w:p>
    <w:p w:rsidR="000A2377" w:rsidRDefault="000A2377" w:rsidP="000A2377">
      <w:pPr>
        <w:spacing w:after="0" w:line="240" w:lineRule="auto"/>
        <w:rPr>
          <w:sz w:val="20"/>
        </w:rPr>
      </w:pPr>
    </w:p>
    <w:p w:rsidR="000A2377" w:rsidRPr="000A2377" w:rsidRDefault="000A2377" w:rsidP="000A2377">
      <w:pPr>
        <w:spacing w:after="0" w:line="240" w:lineRule="auto"/>
        <w:rPr>
          <w:sz w:val="20"/>
        </w:rPr>
      </w:pPr>
    </w:p>
    <w:p w:rsidR="00B2096C" w:rsidRDefault="00B2096C" w:rsidP="001A637D">
      <w:p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4539F1" w:rsidRDefault="004539F1" w:rsidP="001A637D"/>
    <w:p w:rsidR="004539F1" w:rsidRDefault="004539F1" w:rsidP="004539F1">
      <w:pPr>
        <w:pStyle w:val="Heading2"/>
      </w:pPr>
      <w:r>
        <w:t xml:space="preserve">Benchmark E: </w:t>
      </w:r>
      <w:r w:rsidR="003C7D9A">
        <w:t xml:space="preserve">The </w:t>
      </w:r>
      <w:r>
        <w:t xml:space="preserve">Procurement, Development, and Use of Technologies That Will Result in Accessible Web Content </w:t>
      </w:r>
    </w:p>
    <w:p w:rsidR="00B2096C" w:rsidRDefault="00B2096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 xml:space="preserve">Accessibility procurement language </w:t>
      </w:r>
      <w:r w:rsidR="003C7D9A">
        <w:rPr>
          <w:sz w:val="20"/>
        </w:rPr>
        <w:t xml:space="preserve">that is </w:t>
      </w:r>
      <w:r w:rsidRPr="00B2096C">
        <w:rPr>
          <w:sz w:val="20"/>
        </w:rPr>
        <w:t>included</w:t>
      </w:r>
      <w:r w:rsidR="003C7D9A">
        <w:rPr>
          <w:sz w:val="20"/>
        </w:rPr>
        <w:t xml:space="preserve"> </w:t>
      </w:r>
      <w:r w:rsidRPr="00B2096C">
        <w:rPr>
          <w:sz w:val="20"/>
        </w:rPr>
        <w:t xml:space="preserve"> in contracts </w:t>
      </w:r>
      <w:r w:rsidR="003C7D9A">
        <w:rPr>
          <w:sz w:val="20"/>
        </w:rPr>
        <w:t xml:space="preserve">and </w:t>
      </w:r>
      <w:r w:rsidRPr="00B2096C">
        <w:rPr>
          <w:sz w:val="20"/>
        </w:rPr>
        <w:t xml:space="preserve">is consistent with the institutional standard </w:t>
      </w:r>
    </w:p>
    <w:p w:rsidR="004539F1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Accessibility requirements </w:t>
      </w:r>
      <w:r w:rsidR="00EF5337" w:rsidRPr="00EF5337">
        <w:rPr>
          <w:sz w:val="20"/>
        </w:rPr>
        <w:t>are present for courses or course resources that originate from other institutions or organizations</w:t>
      </w:r>
    </w:p>
    <w:p w:rsidR="00EF5337" w:rsidRDefault="00EF5337" w:rsidP="00EF5337">
      <w:pPr>
        <w:pStyle w:val="ListParagraph"/>
        <w:spacing w:after="0" w:line="240" w:lineRule="auto"/>
        <w:ind w:left="288"/>
        <w:contextualSpacing w:val="0"/>
        <w:rPr>
          <w:sz w:val="20"/>
        </w:rPr>
      </w:pPr>
    </w:p>
    <w:p w:rsidR="004539F1" w:rsidRDefault="004539F1" w:rsidP="00EF5337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 xml:space="preserve">Products developed by the institution </w:t>
      </w:r>
      <w:r w:rsidR="003C7D9A">
        <w:rPr>
          <w:sz w:val="20"/>
        </w:rPr>
        <w:t xml:space="preserve">are required to </w:t>
      </w:r>
      <w:r w:rsidRPr="00B2096C">
        <w:rPr>
          <w:sz w:val="20"/>
        </w:rPr>
        <w:t>meet the accessibility standard</w:t>
      </w:r>
    </w:p>
    <w:p w:rsidR="00EF5337" w:rsidRPr="00B2096C" w:rsidRDefault="00EF5337" w:rsidP="00EF5337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Products developed by the institution </w:t>
      </w:r>
      <w:r>
        <w:rPr>
          <w:sz w:val="20"/>
        </w:rPr>
        <w:t xml:space="preserve">do </w:t>
      </w:r>
      <w:r w:rsidRPr="00B2096C">
        <w:rPr>
          <w:sz w:val="20"/>
        </w:rPr>
        <w:t xml:space="preserve">meet </w:t>
      </w:r>
      <w:r>
        <w:rPr>
          <w:sz w:val="20"/>
        </w:rPr>
        <w:t xml:space="preserve">or exceed </w:t>
      </w:r>
      <w:r w:rsidRPr="00B2096C">
        <w:rPr>
          <w:sz w:val="20"/>
        </w:rPr>
        <w:t>the accessibility standar</w:t>
      </w:r>
      <w:r>
        <w:rPr>
          <w:sz w:val="20"/>
        </w:rPr>
        <w:t>d</w:t>
      </w:r>
    </w:p>
    <w:p w:rsidR="003E46CF" w:rsidRDefault="003E46CF" w:rsidP="00EF5337">
      <w:pPr>
        <w:spacing w:after="0" w:line="240" w:lineRule="auto"/>
      </w:pPr>
    </w:p>
    <w:p w:rsidR="003E46CF" w:rsidRDefault="003E46CF" w:rsidP="000A2377">
      <w:pPr>
        <w:spacing w:after="0" w:line="240" w:lineRule="auto"/>
      </w:pPr>
    </w:p>
    <w:p w:rsidR="000A2377" w:rsidRDefault="000A2377" w:rsidP="001A637D">
      <w:pPr>
        <w:sectPr w:rsidR="000A2377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0A2377" w:rsidRDefault="000A2377" w:rsidP="004539F1">
      <w:pPr>
        <w:pStyle w:val="Heading1"/>
      </w:pPr>
    </w:p>
    <w:p w:rsidR="000A2377" w:rsidRDefault="000A2377" w:rsidP="000A2377">
      <w:pPr>
        <w:rPr>
          <w:rFonts w:asciiTheme="majorHAnsi" w:eastAsiaTheme="majorEastAsia" w:hAnsiTheme="majorHAnsi" w:cstheme="majorBidi"/>
          <w:color w:val="002060"/>
          <w:sz w:val="28"/>
          <w:szCs w:val="28"/>
          <w:u w:val="double"/>
        </w:rPr>
      </w:pPr>
      <w:r>
        <w:br w:type="page"/>
      </w:r>
    </w:p>
    <w:p w:rsidR="004539F1" w:rsidRDefault="004539F1" w:rsidP="004539F1">
      <w:pPr>
        <w:pStyle w:val="Heading1"/>
      </w:pPr>
      <w:r>
        <w:lastRenderedPageBreak/>
        <w:t xml:space="preserve">Indicator #4: Assessment </w:t>
      </w:r>
    </w:p>
    <w:p w:rsidR="004539F1" w:rsidRDefault="004539F1" w:rsidP="004539F1">
      <w:pPr>
        <w:pStyle w:val="Heading2"/>
      </w:pPr>
      <w:r>
        <w:t xml:space="preserve">Benchmark A: </w:t>
      </w:r>
      <w:r w:rsidR="00B65050">
        <w:t xml:space="preserve">The </w:t>
      </w:r>
      <w:r>
        <w:t>Evaluation of Implementation Progress</w:t>
      </w:r>
    </w:p>
    <w:p w:rsidR="00B2096C" w:rsidRDefault="00B2096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 xml:space="preserve">Data or information on institutional progress within </w:t>
      </w:r>
      <w:r w:rsidR="00B2096C">
        <w:rPr>
          <w:sz w:val="20"/>
        </w:rPr>
        <w:t xml:space="preserve"> </w:t>
      </w:r>
      <w:r w:rsidRPr="00B2096C">
        <w:rPr>
          <w:sz w:val="20"/>
        </w:rPr>
        <w:t xml:space="preserve">the implementation process </w:t>
      </w: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Formal reports on the progress of the intended implementation plan </w:t>
      </w:r>
    </w:p>
    <w:p w:rsidR="004539F1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>Informal summaries or communications on the progress of the implementation plan</w:t>
      </w:r>
    </w:p>
    <w:p w:rsidR="002E719F" w:rsidRDefault="002E719F" w:rsidP="00223FB7">
      <w:pPr>
        <w:spacing w:after="0" w:line="240" w:lineRule="auto"/>
        <w:rPr>
          <w:sz w:val="20"/>
        </w:rPr>
      </w:pPr>
    </w:p>
    <w:p w:rsidR="002E719F" w:rsidRDefault="002E719F" w:rsidP="00223FB7">
      <w:pPr>
        <w:spacing w:after="0" w:line="240" w:lineRule="auto"/>
        <w:rPr>
          <w:sz w:val="20"/>
        </w:rPr>
      </w:pPr>
    </w:p>
    <w:p w:rsidR="002E719F" w:rsidRPr="002E719F" w:rsidRDefault="002E719F" w:rsidP="00223FB7">
      <w:pPr>
        <w:spacing w:after="0" w:line="240" w:lineRule="auto"/>
        <w:rPr>
          <w:sz w:val="20"/>
        </w:rPr>
      </w:pPr>
    </w:p>
    <w:p w:rsidR="00B2096C" w:rsidRDefault="00B2096C" w:rsidP="001A637D">
      <w:p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4539F1" w:rsidRDefault="004539F1" w:rsidP="004539F1">
      <w:pPr>
        <w:pStyle w:val="Heading2"/>
      </w:pPr>
      <w:r>
        <w:t xml:space="preserve">Benchmark B: Evaluation of Web Accessibility Outcomes </w:t>
      </w:r>
    </w:p>
    <w:p w:rsidR="00B2096C" w:rsidRDefault="00B2096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>Institutional web accessibility data</w:t>
      </w: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 xml:space="preserve">Institutional reports </w:t>
      </w:r>
      <w:r w:rsidR="00B65050">
        <w:rPr>
          <w:sz w:val="20"/>
        </w:rPr>
        <w:t xml:space="preserve">that </w:t>
      </w:r>
      <w:r w:rsidRPr="00B2096C">
        <w:rPr>
          <w:sz w:val="20"/>
        </w:rPr>
        <w:t>contain</w:t>
      </w:r>
      <w:r w:rsidR="00974EF3">
        <w:rPr>
          <w:sz w:val="20"/>
        </w:rPr>
        <w:t xml:space="preserve"> </w:t>
      </w:r>
      <w:r w:rsidRPr="00B2096C">
        <w:rPr>
          <w:sz w:val="20"/>
        </w:rPr>
        <w:t xml:space="preserve">web accessibility data or summaries </w:t>
      </w: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 xml:space="preserve">Reports from external evaluations of web accessibility outcomes </w:t>
      </w:r>
    </w:p>
    <w:p w:rsidR="004539F1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t>Correspondence describing outcomes</w:t>
      </w:r>
    </w:p>
    <w:p w:rsidR="002E719F" w:rsidRPr="00B2096C" w:rsidRDefault="002E719F" w:rsidP="00223FB7">
      <w:pPr>
        <w:pStyle w:val="ListParagraph"/>
        <w:spacing w:after="0" w:line="240" w:lineRule="auto"/>
        <w:ind w:left="288"/>
        <w:contextualSpacing w:val="0"/>
        <w:rPr>
          <w:sz w:val="20"/>
        </w:rPr>
      </w:pPr>
    </w:p>
    <w:p w:rsidR="00B2096C" w:rsidRDefault="00B2096C" w:rsidP="001A637D">
      <w:p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4163AB" w:rsidRDefault="004163AB" w:rsidP="004539F1">
      <w:pPr>
        <w:pStyle w:val="Heading2"/>
      </w:pPr>
    </w:p>
    <w:p w:rsidR="004163AB" w:rsidRDefault="004163AB" w:rsidP="004163AB">
      <w:pPr>
        <w:rPr>
          <w:rFonts w:asciiTheme="majorHAnsi" w:eastAsiaTheme="majorEastAsia" w:hAnsiTheme="majorHAnsi" w:cstheme="majorBidi"/>
          <w:color w:val="4F81BD" w:themeColor="accent1"/>
          <w:sz w:val="24"/>
          <w:szCs w:val="26"/>
        </w:rPr>
      </w:pPr>
      <w:r>
        <w:br w:type="page"/>
      </w:r>
    </w:p>
    <w:p w:rsidR="004539F1" w:rsidRDefault="004539F1" w:rsidP="004539F1">
      <w:pPr>
        <w:pStyle w:val="Heading2"/>
      </w:pPr>
      <w:r>
        <w:lastRenderedPageBreak/>
        <w:t xml:space="preserve">Benchmark C: Assessment Results Are Used To Improve Institutional Accessibility </w:t>
      </w:r>
    </w:p>
    <w:p w:rsidR="00B2096C" w:rsidRDefault="00B2096C" w:rsidP="00B2096C">
      <w:pPr>
        <w:pStyle w:val="ListParagraph"/>
        <w:numPr>
          <w:ilvl w:val="0"/>
          <w:numId w:val="1"/>
        </w:numPr>
        <w:spacing w:after="0" w:line="240" w:lineRule="auto"/>
        <w:ind w:left="144" w:hanging="144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539F1" w:rsidRPr="00B2096C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>Reports that reflect</w:t>
      </w:r>
      <w:r w:rsidR="00EF5337">
        <w:rPr>
          <w:sz w:val="20"/>
        </w:rPr>
        <w:t xml:space="preserve"> data-based</w:t>
      </w:r>
      <w:r w:rsidRPr="00B2096C">
        <w:rPr>
          <w:sz w:val="20"/>
        </w:rPr>
        <w:t xml:space="preserve"> recommendations</w:t>
      </w:r>
      <w:r w:rsidR="007A6079">
        <w:rPr>
          <w:sz w:val="20"/>
        </w:rPr>
        <w:t xml:space="preserve"> </w:t>
      </w:r>
      <w:r w:rsidRPr="00B2096C">
        <w:rPr>
          <w:sz w:val="20"/>
        </w:rPr>
        <w:t xml:space="preserve"> for change </w:t>
      </w:r>
    </w:p>
    <w:p w:rsidR="004539F1" w:rsidRDefault="004539F1" w:rsidP="003A04B4">
      <w:pPr>
        <w:pStyle w:val="ListParagraph"/>
        <w:numPr>
          <w:ilvl w:val="0"/>
          <w:numId w:val="1"/>
        </w:numPr>
        <w:spacing w:after="60" w:line="240" w:lineRule="auto"/>
        <w:ind w:left="288" w:hanging="288"/>
        <w:contextualSpacing w:val="0"/>
        <w:rPr>
          <w:sz w:val="20"/>
        </w:rPr>
      </w:pPr>
      <w:r w:rsidRPr="00B2096C">
        <w:rPr>
          <w:sz w:val="20"/>
        </w:rPr>
        <w:lastRenderedPageBreak/>
        <w:t>Documentation that describes how data sources inform institutional efforts</w:t>
      </w:r>
    </w:p>
    <w:p w:rsidR="00B2096C" w:rsidRDefault="00B2096C" w:rsidP="00B2096C">
      <w:pPr>
        <w:spacing w:after="0" w:line="240" w:lineRule="auto"/>
        <w:rPr>
          <w:sz w:val="20"/>
        </w:rPr>
        <w:sectPr w:rsidR="00B2096C" w:rsidSect="005E4DE6">
          <w:type w:val="continuous"/>
          <w:pgSz w:w="12240" w:h="15840"/>
          <w:pgMar w:top="720" w:right="1440" w:bottom="720" w:left="1440" w:header="720" w:footer="720" w:gutter="0"/>
          <w:cols w:num="2" w:space="0"/>
          <w:docGrid w:linePitch="360"/>
        </w:sectPr>
      </w:pPr>
    </w:p>
    <w:p w:rsidR="00B2096C" w:rsidRDefault="00B2096C" w:rsidP="00223FB7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430"/>
        <w:gridCol w:w="1908"/>
      </w:tblGrid>
      <w:tr w:rsidR="003E46CF" w:rsidRPr="00AC4641" w:rsidTr="006167BD">
        <w:tc>
          <w:tcPr>
            <w:tcW w:w="9576" w:type="dxa"/>
            <w:gridSpan w:val="4"/>
            <w:vAlign w:val="center"/>
          </w:tcPr>
          <w:p w:rsidR="00052143" w:rsidRPr="00AC4641" w:rsidRDefault="00052143" w:rsidP="0005214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This benchmark specifically supports requirements or plans by:</w:t>
            </w:r>
          </w:p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</w:p>
        </w:tc>
      </w:tr>
      <w:tr w:rsidR="003E46CF" w:rsidRPr="00AC4641" w:rsidTr="006167BD"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Evidence</w:t>
            </w:r>
          </w:p>
        </w:tc>
        <w:tc>
          <w:tcPr>
            <w:tcW w:w="33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Description</w:t>
            </w:r>
          </w:p>
        </w:tc>
        <w:tc>
          <w:tcPr>
            <w:tcW w:w="2430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Supporting Documentation</w:t>
            </w:r>
          </w:p>
        </w:tc>
        <w:tc>
          <w:tcPr>
            <w:tcW w:w="1908" w:type="dxa"/>
            <w:vAlign w:val="center"/>
          </w:tcPr>
          <w:p w:rsidR="003E46CF" w:rsidRPr="00AC4641" w:rsidRDefault="003E46CF" w:rsidP="006167BD">
            <w:pPr>
              <w:jc w:val="center"/>
              <w:rPr>
                <w:b/>
                <w:sz w:val="28"/>
              </w:rPr>
            </w:pPr>
            <w:r w:rsidRPr="00AC4641">
              <w:rPr>
                <w:b/>
                <w:sz w:val="28"/>
              </w:rPr>
              <w:t>Additional Notes</w:t>
            </w:r>
          </w:p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1908" w:type="dxa"/>
          </w:tcPr>
          <w:p w:rsidR="003E46CF" w:rsidRPr="00AC4641" w:rsidRDefault="003E46CF" w:rsidP="006167BD"/>
        </w:tc>
        <w:tc>
          <w:tcPr>
            <w:tcW w:w="3330" w:type="dxa"/>
          </w:tcPr>
          <w:p w:rsidR="003E46CF" w:rsidRPr="00AC4641" w:rsidRDefault="003E46CF" w:rsidP="006167BD"/>
        </w:tc>
        <w:tc>
          <w:tcPr>
            <w:tcW w:w="2430" w:type="dxa"/>
          </w:tcPr>
          <w:p w:rsidR="003E46CF" w:rsidRPr="00AC4641" w:rsidRDefault="003E46CF" w:rsidP="006167BD"/>
        </w:tc>
        <w:tc>
          <w:tcPr>
            <w:tcW w:w="1908" w:type="dxa"/>
          </w:tcPr>
          <w:p w:rsidR="003E46CF" w:rsidRPr="00AC4641" w:rsidRDefault="003E46CF" w:rsidP="006167BD"/>
        </w:tc>
      </w:tr>
      <w:tr w:rsidR="003E46CF" w:rsidRPr="00AC4641" w:rsidTr="006167BD">
        <w:tc>
          <w:tcPr>
            <w:tcW w:w="9576" w:type="dxa"/>
            <w:gridSpan w:val="4"/>
          </w:tcPr>
          <w:p w:rsidR="003E46CF" w:rsidRPr="0043068B" w:rsidRDefault="003E46CF" w:rsidP="006167BD">
            <w:pPr>
              <w:rPr>
                <w:b/>
                <w:i/>
              </w:rPr>
            </w:pPr>
            <w:r w:rsidRPr="0043068B">
              <w:rPr>
                <w:b/>
                <w:i/>
              </w:rPr>
              <w:t xml:space="preserve">Describe any evidence that is currently in development </w:t>
            </w:r>
          </w:p>
          <w:p w:rsidR="003E46CF" w:rsidRDefault="003E46CF" w:rsidP="006167BD"/>
          <w:p w:rsidR="003E46CF" w:rsidRPr="00AC4641" w:rsidRDefault="003E46CF" w:rsidP="006167BD"/>
        </w:tc>
      </w:tr>
    </w:tbl>
    <w:p w:rsidR="00B2096C" w:rsidRDefault="00B2096C" w:rsidP="00B2096C">
      <w:pPr>
        <w:spacing w:after="0" w:line="240" w:lineRule="auto"/>
        <w:rPr>
          <w:sz w:val="20"/>
        </w:rPr>
      </w:pPr>
    </w:p>
    <w:p w:rsidR="00B2096C" w:rsidRDefault="00B2096C" w:rsidP="00B2096C">
      <w:pPr>
        <w:spacing w:after="0" w:line="240" w:lineRule="auto"/>
        <w:rPr>
          <w:sz w:val="20"/>
        </w:rPr>
      </w:pPr>
    </w:p>
    <w:p w:rsidR="00B2096C" w:rsidRPr="00B2096C" w:rsidRDefault="00B2096C" w:rsidP="00B2096C">
      <w:pPr>
        <w:spacing w:after="0" w:line="240" w:lineRule="auto"/>
        <w:rPr>
          <w:sz w:val="20"/>
        </w:rPr>
      </w:pPr>
    </w:p>
    <w:sectPr w:rsidR="00B2096C" w:rsidRPr="00B2096C" w:rsidSect="005E4DE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178"/>
    <w:multiLevelType w:val="hybridMultilevel"/>
    <w:tmpl w:val="A71E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309D0"/>
    <w:multiLevelType w:val="hybridMultilevel"/>
    <w:tmpl w:val="46F2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96B40"/>
    <w:multiLevelType w:val="hybridMultilevel"/>
    <w:tmpl w:val="8A207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92600"/>
    <w:multiLevelType w:val="hybridMultilevel"/>
    <w:tmpl w:val="34B20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44A0E"/>
    <w:multiLevelType w:val="hybridMultilevel"/>
    <w:tmpl w:val="7BB2E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44AA9"/>
    <w:multiLevelType w:val="hybridMultilevel"/>
    <w:tmpl w:val="C6F098DE"/>
    <w:lvl w:ilvl="0" w:tplc="026A0FC0">
      <w:start w:val="1"/>
      <w:numFmt w:val="bullet"/>
      <w:pStyle w:val="Evidence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B65C10"/>
    <w:multiLevelType w:val="hybridMultilevel"/>
    <w:tmpl w:val="1528E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C51E45"/>
    <w:multiLevelType w:val="hybridMultilevel"/>
    <w:tmpl w:val="CD8AC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8F4E1A"/>
    <w:multiLevelType w:val="hybridMultilevel"/>
    <w:tmpl w:val="ED3CC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A4447"/>
    <w:multiLevelType w:val="hybridMultilevel"/>
    <w:tmpl w:val="227A1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024C14"/>
    <w:multiLevelType w:val="hybridMultilevel"/>
    <w:tmpl w:val="55EE1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7E"/>
    <w:rsid w:val="00002337"/>
    <w:rsid w:val="0000397A"/>
    <w:rsid w:val="00013BDA"/>
    <w:rsid w:val="00052143"/>
    <w:rsid w:val="000A2377"/>
    <w:rsid w:val="000A554C"/>
    <w:rsid w:val="000C5CDC"/>
    <w:rsid w:val="000D2DC3"/>
    <w:rsid w:val="001118A0"/>
    <w:rsid w:val="00117EB4"/>
    <w:rsid w:val="001704F2"/>
    <w:rsid w:val="00171F41"/>
    <w:rsid w:val="001936A8"/>
    <w:rsid w:val="001A637D"/>
    <w:rsid w:val="001E2659"/>
    <w:rsid w:val="00223FB7"/>
    <w:rsid w:val="00273A29"/>
    <w:rsid w:val="00276FBE"/>
    <w:rsid w:val="002C741E"/>
    <w:rsid w:val="002E719F"/>
    <w:rsid w:val="00300CEA"/>
    <w:rsid w:val="00356796"/>
    <w:rsid w:val="00390E93"/>
    <w:rsid w:val="003A04B4"/>
    <w:rsid w:val="003B4026"/>
    <w:rsid w:val="003C7D9A"/>
    <w:rsid w:val="003D781E"/>
    <w:rsid w:val="003E46CF"/>
    <w:rsid w:val="0040173A"/>
    <w:rsid w:val="004163AB"/>
    <w:rsid w:val="0043068B"/>
    <w:rsid w:val="00430E21"/>
    <w:rsid w:val="00452365"/>
    <w:rsid w:val="004539F1"/>
    <w:rsid w:val="00463DAC"/>
    <w:rsid w:val="00464E82"/>
    <w:rsid w:val="005175A0"/>
    <w:rsid w:val="00524F70"/>
    <w:rsid w:val="00531479"/>
    <w:rsid w:val="00550BBF"/>
    <w:rsid w:val="005547CE"/>
    <w:rsid w:val="005770F2"/>
    <w:rsid w:val="005A6528"/>
    <w:rsid w:val="005C1EB5"/>
    <w:rsid w:val="005E2952"/>
    <w:rsid w:val="005E4DE6"/>
    <w:rsid w:val="00601156"/>
    <w:rsid w:val="006167BD"/>
    <w:rsid w:val="006246DD"/>
    <w:rsid w:val="00665910"/>
    <w:rsid w:val="006C1D08"/>
    <w:rsid w:val="006D1043"/>
    <w:rsid w:val="006F16AF"/>
    <w:rsid w:val="00746DFB"/>
    <w:rsid w:val="00783970"/>
    <w:rsid w:val="007A4016"/>
    <w:rsid w:val="007A5066"/>
    <w:rsid w:val="007A6079"/>
    <w:rsid w:val="007E4DF2"/>
    <w:rsid w:val="007F4C86"/>
    <w:rsid w:val="008051EB"/>
    <w:rsid w:val="0082691C"/>
    <w:rsid w:val="00851A9C"/>
    <w:rsid w:val="00876270"/>
    <w:rsid w:val="008D3B55"/>
    <w:rsid w:val="008E0B72"/>
    <w:rsid w:val="00974EF3"/>
    <w:rsid w:val="00991ECF"/>
    <w:rsid w:val="009A1BF4"/>
    <w:rsid w:val="009B54B1"/>
    <w:rsid w:val="009C6017"/>
    <w:rsid w:val="00AB116F"/>
    <w:rsid w:val="00AC077E"/>
    <w:rsid w:val="00AC4641"/>
    <w:rsid w:val="00AD20F1"/>
    <w:rsid w:val="00AF06E4"/>
    <w:rsid w:val="00B2096C"/>
    <w:rsid w:val="00B62BDD"/>
    <w:rsid w:val="00B631FF"/>
    <w:rsid w:val="00B65050"/>
    <w:rsid w:val="00BA59D3"/>
    <w:rsid w:val="00BB6564"/>
    <w:rsid w:val="00BC0A8A"/>
    <w:rsid w:val="00BD126E"/>
    <w:rsid w:val="00BD637F"/>
    <w:rsid w:val="00BD6AF5"/>
    <w:rsid w:val="00BF7F75"/>
    <w:rsid w:val="00C2327E"/>
    <w:rsid w:val="00C6730D"/>
    <w:rsid w:val="00C73380"/>
    <w:rsid w:val="00C91FBA"/>
    <w:rsid w:val="00CA5D70"/>
    <w:rsid w:val="00CD2030"/>
    <w:rsid w:val="00CD6DA2"/>
    <w:rsid w:val="00D15629"/>
    <w:rsid w:val="00D374C5"/>
    <w:rsid w:val="00D427A9"/>
    <w:rsid w:val="00D632FB"/>
    <w:rsid w:val="00D925D9"/>
    <w:rsid w:val="00DC21BA"/>
    <w:rsid w:val="00E134F1"/>
    <w:rsid w:val="00E37EA2"/>
    <w:rsid w:val="00E514AA"/>
    <w:rsid w:val="00E91545"/>
    <w:rsid w:val="00EA36AE"/>
    <w:rsid w:val="00ED2ADF"/>
    <w:rsid w:val="00EF5337"/>
    <w:rsid w:val="00F24A1C"/>
    <w:rsid w:val="00F42A7A"/>
    <w:rsid w:val="00F42C4B"/>
    <w:rsid w:val="00F50518"/>
    <w:rsid w:val="00F82B14"/>
    <w:rsid w:val="00F87EF6"/>
    <w:rsid w:val="00FB139C"/>
    <w:rsid w:val="00FC1382"/>
    <w:rsid w:val="00FC5F09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1A63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1A63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63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1479"/>
    <w:rPr>
      <w:rFonts w:asciiTheme="majorHAnsi" w:eastAsiaTheme="majorEastAsia" w:hAnsiTheme="majorHAnsi" w:cstheme="majorBidi"/>
      <w:b/>
      <w:bCs/>
      <w:color w:val="002060"/>
      <w:sz w:val="28"/>
      <w:szCs w:val="28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53147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Evidence">
    <w:name w:val="Evidence"/>
    <w:basedOn w:val="Normal"/>
    <w:link w:val="EvidenceChar"/>
    <w:qFormat/>
    <w:rsid w:val="005A652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314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videnceChar">
    <w:name w:val="Evidence Char"/>
    <w:basedOn w:val="DefaultParagraphFont"/>
    <w:link w:val="Evidence"/>
    <w:rsid w:val="005A6528"/>
    <w:rPr>
      <w:i/>
    </w:rPr>
  </w:style>
  <w:style w:type="paragraph" w:customStyle="1" w:styleId="EvidenceList">
    <w:name w:val="Evidence List"/>
    <w:basedOn w:val="ListParagraph"/>
    <w:link w:val="EvidenceListChar"/>
    <w:qFormat/>
    <w:rsid w:val="00C2327E"/>
    <w:pPr>
      <w:numPr>
        <w:numId w:val="1"/>
      </w:numPr>
      <w:spacing w:after="0" w:line="240" w:lineRule="auto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327E"/>
  </w:style>
  <w:style w:type="character" w:customStyle="1" w:styleId="EvidenceListChar">
    <w:name w:val="Evidence List Char"/>
    <w:basedOn w:val="ListParagraphChar"/>
    <w:link w:val="EvidenceList"/>
    <w:rsid w:val="00C2327E"/>
    <w:rPr>
      <w:sz w:val="20"/>
    </w:rPr>
  </w:style>
  <w:style w:type="paragraph" w:styleId="NoSpacing">
    <w:name w:val="No Spacing"/>
    <w:link w:val="NoSpacingChar"/>
    <w:uiPriority w:val="1"/>
    <w:qFormat/>
    <w:rsid w:val="00FB13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5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9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3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CA5D70"/>
  </w:style>
  <w:style w:type="character" w:styleId="Hyperlink">
    <w:name w:val="Hyperlink"/>
    <w:basedOn w:val="DefaultParagraphFont"/>
    <w:uiPriority w:val="99"/>
    <w:unhideWhenUsed/>
    <w:rsid w:val="00805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1A63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1A63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63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1479"/>
    <w:rPr>
      <w:rFonts w:asciiTheme="majorHAnsi" w:eastAsiaTheme="majorEastAsia" w:hAnsiTheme="majorHAnsi" w:cstheme="majorBidi"/>
      <w:b/>
      <w:bCs/>
      <w:color w:val="002060"/>
      <w:sz w:val="28"/>
      <w:szCs w:val="28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53147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Evidence">
    <w:name w:val="Evidence"/>
    <w:basedOn w:val="Normal"/>
    <w:link w:val="EvidenceChar"/>
    <w:qFormat/>
    <w:rsid w:val="005A652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314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videnceChar">
    <w:name w:val="Evidence Char"/>
    <w:basedOn w:val="DefaultParagraphFont"/>
    <w:link w:val="Evidence"/>
    <w:rsid w:val="005A6528"/>
    <w:rPr>
      <w:i/>
    </w:rPr>
  </w:style>
  <w:style w:type="paragraph" w:customStyle="1" w:styleId="EvidenceList">
    <w:name w:val="Evidence List"/>
    <w:basedOn w:val="ListParagraph"/>
    <w:link w:val="EvidenceListChar"/>
    <w:qFormat/>
    <w:rsid w:val="00C2327E"/>
    <w:pPr>
      <w:numPr>
        <w:numId w:val="1"/>
      </w:numPr>
      <w:spacing w:after="0" w:line="240" w:lineRule="auto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327E"/>
  </w:style>
  <w:style w:type="character" w:customStyle="1" w:styleId="EvidenceListChar">
    <w:name w:val="Evidence List Char"/>
    <w:basedOn w:val="ListParagraphChar"/>
    <w:link w:val="EvidenceList"/>
    <w:rsid w:val="00C2327E"/>
    <w:rPr>
      <w:sz w:val="20"/>
    </w:rPr>
  </w:style>
  <w:style w:type="paragraph" w:styleId="NoSpacing">
    <w:name w:val="No Spacing"/>
    <w:link w:val="NoSpacingChar"/>
    <w:uiPriority w:val="1"/>
    <w:qFormat/>
    <w:rsid w:val="00FB13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5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9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3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CA5D70"/>
  </w:style>
  <w:style w:type="character" w:styleId="Hyperlink">
    <w:name w:val="Hyperlink"/>
    <w:basedOn w:val="DefaultParagraphFont"/>
    <w:uiPriority w:val="99"/>
    <w:unhideWhenUsed/>
    <w:rsid w:val="00805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dae.org/goals/accreditation/mapping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ncdae.org/goals/accreditation/bestpractice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cdae.org/blog/accredibility-using-your-web-accessibility-efforts-as-evidence-during-reaffi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9D44-D184-4EB3-99D5-9282F197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Mariger</dc:creator>
  <cp:lastModifiedBy>Amy</cp:lastModifiedBy>
  <cp:revision>3</cp:revision>
  <dcterms:created xsi:type="dcterms:W3CDTF">2013-11-07T19:26:00Z</dcterms:created>
  <dcterms:modified xsi:type="dcterms:W3CDTF">2013-11-07T19:29:00Z</dcterms:modified>
</cp:coreProperties>
</file>